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507E" w14:textId="583013F5" w:rsidR="00F33C03" w:rsidRDefault="00F33C03">
      <w:pPr>
        <w:spacing w:after="0"/>
        <w:ind w:left="-1440" w:right="22368"/>
      </w:pPr>
    </w:p>
    <w:tbl>
      <w:tblPr>
        <w:tblStyle w:val="TableGrid"/>
        <w:tblW w:w="21477" w:type="dxa"/>
        <w:tblInd w:w="-283" w:type="dxa"/>
        <w:tblCellMar>
          <w:top w:w="65" w:type="dxa"/>
          <w:left w:w="43" w:type="dxa"/>
          <w:bottom w:w="13" w:type="dxa"/>
          <w:right w:w="37" w:type="dxa"/>
        </w:tblCellMar>
        <w:tblLook w:val="04A0" w:firstRow="1" w:lastRow="0" w:firstColumn="1" w:lastColumn="0" w:noHBand="0" w:noVBand="1"/>
      </w:tblPr>
      <w:tblGrid>
        <w:gridCol w:w="1354"/>
        <w:gridCol w:w="1798"/>
        <w:gridCol w:w="2208"/>
        <w:gridCol w:w="13155"/>
        <w:gridCol w:w="2962"/>
      </w:tblGrid>
      <w:tr w:rsidR="00F33C03" w14:paraId="5BE4B63A" w14:textId="77777777">
        <w:trPr>
          <w:trHeight w:val="941"/>
        </w:trPr>
        <w:tc>
          <w:tcPr>
            <w:tcW w:w="21477" w:type="dxa"/>
            <w:gridSpan w:val="5"/>
            <w:tcBorders>
              <w:top w:val="single" w:sz="8" w:space="0" w:color="000000"/>
              <w:left w:val="single" w:sz="8" w:space="0" w:color="000000"/>
              <w:bottom w:val="single" w:sz="8" w:space="0" w:color="000000"/>
              <w:right w:val="single" w:sz="8" w:space="0" w:color="000000"/>
            </w:tcBorders>
            <w:shd w:val="clear" w:color="auto" w:fill="B7B7B7"/>
            <w:vAlign w:val="center"/>
          </w:tcPr>
          <w:p w14:paraId="1337B9EF" w14:textId="77777777" w:rsidR="00F33C03" w:rsidRDefault="00647E24">
            <w:pPr>
              <w:ind w:right="8"/>
              <w:jc w:val="center"/>
            </w:pPr>
            <w:r>
              <w:rPr>
                <w:b/>
                <w:sz w:val="36"/>
              </w:rPr>
              <w:t>Hlavní politické iniciativy v Taoyuanu</w:t>
            </w:r>
          </w:p>
        </w:tc>
      </w:tr>
      <w:tr w:rsidR="00F33C03" w14:paraId="7163EDD0" w14:textId="77777777">
        <w:trPr>
          <w:trHeight w:val="406"/>
        </w:trPr>
        <w:tc>
          <w:tcPr>
            <w:tcW w:w="21477" w:type="dxa"/>
            <w:gridSpan w:val="5"/>
            <w:tcBorders>
              <w:top w:val="single" w:sz="8" w:space="0" w:color="000000"/>
              <w:left w:val="single" w:sz="8" w:space="0" w:color="000000"/>
              <w:bottom w:val="single" w:sz="8" w:space="0" w:color="000000"/>
              <w:right w:val="single" w:sz="8" w:space="0" w:color="000000"/>
            </w:tcBorders>
            <w:shd w:val="clear" w:color="auto" w:fill="B7B7B7"/>
          </w:tcPr>
          <w:p w14:paraId="702FB5F2" w14:textId="4AE7EFAB" w:rsidR="00F33C03" w:rsidRDefault="00647E24">
            <w:pPr>
              <w:ind w:right="1"/>
              <w:jc w:val="center"/>
            </w:pPr>
            <w:r>
              <w:rPr>
                <w:sz w:val="28"/>
              </w:rPr>
              <w:t xml:space="preserve">Chytré </w:t>
            </w:r>
            <w:r w:rsidR="00D756E5">
              <w:rPr>
                <w:sz w:val="28"/>
              </w:rPr>
              <w:t>město – Smart City</w:t>
            </w:r>
          </w:p>
        </w:tc>
      </w:tr>
      <w:tr w:rsidR="00F33C03" w14:paraId="4F2835FF" w14:textId="77777777">
        <w:trPr>
          <w:trHeight w:val="480"/>
        </w:trPr>
        <w:tc>
          <w:tcPr>
            <w:tcW w:w="1354" w:type="dxa"/>
            <w:tcBorders>
              <w:top w:val="single" w:sz="8" w:space="0" w:color="000000"/>
              <w:left w:val="single" w:sz="8" w:space="0" w:color="000000"/>
              <w:bottom w:val="single" w:sz="8" w:space="0" w:color="000000"/>
              <w:right w:val="single" w:sz="8" w:space="0" w:color="000000"/>
            </w:tcBorders>
            <w:shd w:val="clear" w:color="auto" w:fill="CCCCCC"/>
          </w:tcPr>
          <w:p w14:paraId="21A729CB" w14:textId="77777777" w:rsidR="00F33C03" w:rsidRDefault="00647E24">
            <w:pPr>
              <w:ind w:left="122"/>
            </w:pPr>
            <w:r>
              <w:rPr>
                <w:sz w:val="28"/>
              </w:rPr>
              <w:t>Kategorie</w:t>
            </w:r>
          </w:p>
        </w:tc>
        <w:tc>
          <w:tcPr>
            <w:tcW w:w="20123" w:type="dxa"/>
            <w:gridSpan w:val="4"/>
            <w:tcBorders>
              <w:top w:val="single" w:sz="8" w:space="0" w:color="000000"/>
              <w:left w:val="single" w:sz="8" w:space="0" w:color="000000"/>
              <w:bottom w:val="single" w:sz="8" w:space="0" w:color="000000"/>
              <w:right w:val="single" w:sz="8" w:space="0" w:color="000000"/>
            </w:tcBorders>
            <w:shd w:val="clear" w:color="auto" w:fill="CCCCCC"/>
          </w:tcPr>
          <w:p w14:paraId="24FB1382" w14:textId="437480A1" w:rsidR="00F33C03" w:rsidRDefault="00647E24">
            <w:pPr>
              <w:jc w:val="center"/>
            </w:pPr>
            <w:r>
              <w:rPr>
                <w:sz w:val="28"/>
              </w:rPr>
              <w:t>Klíčové</w:t>
            </w:r>
            <w:r w:rsidR="00D756E5">
              <w:rPr>
                <w:sz w:val="28"/>
              </w:rPr>
              <w:t xml:space="preserve"> iniciativy</w:t>
            </w:r>
            <w:r>
              <w:rPr>
                <w:sz w:val="28"/>
              </w:rPr>
              <w:t xml:space="preserve"> a významn</w:t>
            </w:r>
            <w:r w:rsidR="00D756E5">
              <w:rPr>
                <w:sz w:val="28"/>
              </w:rPr>
              <w:t xml:space="preserve">á </w:t>
            </w:r>
            <w:r>
              <w:rPr>
                <w:sz w:val="28"/>
              </w:rPr>
              <w:t>ocenění</w:t>
            </w:r>
          </w:p>
        </w:tc>
      </w:tr>
      <w:tr w:rsidR="00F33C03" w14:paraId="13C14F83" w14:textId="77777777">
        <w:trPr>
          <w:trHeight w:val="2777"/>
        </w:trPr>
        <w:tc>
          <w:tcPr>
            <w:tcW w:w="1354" w:type="dxa"/>
            <w:vMerge w:val="restart"/>
            <w:tcBorders>
              <w:top w:val="single" w:sz="8" w:space="0" w:color="000000"/>
              <w:left w:val="single" w:sz="8" w:space="0" w:color="000000"/>
              <w:bottom w:val="single" w:sz="8" w:space="0" w:color="000000"/>
              <w:right w:val="single" w:sz="8" w:space="0" w:color="000000"/>
            </w:tcBorders>
          </w:tcPr>
          <w:p w14:paraId="54AC5452" w14:textId="1F7BBDE3" w:rsidR="00F33C03" w:rsidRPr="00D756E5" w:rsidRDefault="00D756E5">
            <w:r w:rsidRPr="00D756E5">
              <w:rPr>
                <w:sz w:val="28"/>
              </w:rPr>
              <w:t>Smart City iniciativy</w:t>
            </w:r>
          </w:p>
        </w:tc>
        <w:tc>
          <w:tcPr>
            <w:tcW w:w="20123" w:type="dxa"/>
            <w:gridSpan w:val="4"/>
            <w:tcBorders>
              <w:top w:val="single" w:sz="8" w:space="0" w:color="000000"/>
              <w:left w:val="single" w:sz="8" w:space="0" w:color="000000"/>
              <w:bottom w:val="single" w:sz="8" w:space="0" w:color="000000"/>
              <w:right w:val="single" w:sz="8" w:space="0" w:color="000000"/>
            </w:tcBorders>
            <w:vAlign w:val="center"/>
          </w:tcPr>
          <w:p w14:paraId="722BC213" w14:textId="472950DE" w:rsidR="00F33C03" w:rsidRPr="00D756E5" w:rsidRDefault="00647E24">
            <w:pPr>
              <w:ind w:left="2"/>
              <w:jc w:val="both"/>
            </w:pPr>
            <w:r w:rsidRPr="00D756E5">
              <w:rPr>
                <w:sz w:val="28"/>
              </w:rPr>
              <w:t xml:space="preserve">Městská správa </w:t>
            </w:r>
            <w:r w:rsidR="00D756E5" w:rsidRPr="00D756E5">
              <w:rPr>
                <w:sz w:val="28"/>
              </w:rPr>
              <w:t xml:space="preserve">Taoyuanu </w:t>
            </w:r>
            <w:r w:rsidRPr="00D756E5">
              <w:rPr>
                <w:sz w:val="28"/>
              </w:rPr>
              <w:t xml:space="preserve">věnovala v posledních letech značné úsilí podpoře "Smart Taoyuan", rozvoji technologické správy a chytrých veřejných služeb. Naším cílem je využít technologie k podpoře městské transformace a upřednostnit přínosy pro naše občany. Abychom proaktivně podporovali rozvoj chytrých městských technologií a zlepšili jak technologickou správu, tak kvalitu městských služeb, založili jsme v roce 2024 jedinou Komisi pro rozvoj chytrých měst a komunit v zemi. Toto nové oddělení integruje zdroje, rozpočty, data a odborné znalosti a zároveň zavádí AI technologie ke zlepšení efektivity administrativy, optimalizaci veřejných zařízení a služeb a podpoře průmyslové transformace. Také vede meziresortní spolupráci v rámci městské správy za účelem společné podpory vývoje a aplikace chytrých technologií v celém </w:t>
            </w:r>
            <w:r w:rsidR="00D756E5" w:rsidRPr="00D756E5">
              <w:rPr>
                <w:sz w:val="28"/>
              </w:rPr>
              <w:t xml:space="preserve">městě </w:t>
            </w:r>
            <w:r w:rsidRPr="00D756E5">
              <w:rPr>
                <w:sz w:val="28"/>
              </w:rPr>
              <w:t>Taoyuanu.</w:t>
            </w:r>
          </w:p>
        </w:tc>
      </w:tr>
      <w:tr w:rsidR="00F33C03" w14:paraId="47BBB883" w14:textId="77777777">
        <w:trPr>
          <w:trHeight w:val="523"/>
        </w:trPr>
        <w:tc>
          <w:tcPr>
            <w:tcW w:w="0" w:type="auto"/>
            <w:vMerge/>
            <w:tcBorders>
              <w:top w:val="nil"/>
              <w:left w:val="single" w:sz="8" w:space="0" w:color="000000"/>
              <w:bottom w:val="nil"/>
              <w:right w:val="single" w:sz="8" w:space="0" w:color="000000"/>
            </w:tcBorders>
          </w:tcPr>
          <w:p w14:paraId="7A140AC3" w14:textId="77777777" w:rsidR="00F33C03" w:rsidRPr="00D756E5" w:rsidRDefault="00F33C03"/>
        </w:tc>
        <w:tc>
          <w:tcPr>
            <w:tcW w:w="4006" w:type="dxa"/>
            <w:gridSpan w:val="2"/>
            <w:tcBorders>
              <w:top w:val="single" w:sz="8" w:space="0" w:color="000000"/>
              <w:left w:val="single" w:sz="8" w:space="0" w:color="000000"/>
              <w:bottom w:val="single" w:sz="8" w:space="0" w:color="000000"/>
              <w:right w:val="single" w:sz="8" w:space="0" w:color="000000"/>
            </w:tcBorders>
            <w:shd w:val="clear" w:color="auto" w:fill="CCCCCC"/>
          </w:tcPr>
          <w:p w14:paraId="6DEDC130" w14:textId="77777777" w:rsidR="00F33C03" w:rsidRPr="00D756E5" w:rsidRDefault="00647E24">
            <w:pPr>
              <w:ind w:left="2"/>
            </w:pPr>
            <w:r w:rsidRPr="00D756E5">
              <w:rPr>
                <w:sz w:val="28"/>
              </w:rPr>
              <w:t>Klíčové politiky</w:t>
            </w:r>
          </w:p>
        </w:tc>
        <w:tc>
          <w:tcPr>
            <w:tcW w:w="13156" w:type="dxa"/>
            <w:tcBorders>
              <w:top w:val="single" w:sz="8" w:space="0" w:color="000000"/>
              <w:left w:val="single" w:sz="8" w:space="0" w:color="000000"/>
              <w:bottom w:val="single" w:sz="8" w:space="0" w:color="000000"/>
              <w:right w:val="single" w:sz="8" w:space="0" w:color="000000"/>
            </w:tcBorders>
            <w:shd w:val="clear" w:color="auto" w:fill="CCCCCC"/>
          </w:tcPr>
          <w:p w14:paraId="5519536F" w14:textId="77777777" w:rsidR="00F33C03" w:rsidRPr="00D756E5" w:rsidRDefault="00647E24">
            <w:pPr>
              <w:ind w:left="2"/>
            </w:pPr>
            <w:r w:rsidRPr="00D756E5">
              <w:rPr>
                <w:sz w:val="28"/>
              </w:rPr>
              <w:t>Popis</w:t>
            </w:r>
          </w:p>
        </w:tc>
        <w:tc>
          <w:tcPr>
            <w:tcW w:w="2962" w:type="dxa"/>
            <w:tcBorders>
              <w:top w:val="single" w:sz="8" w:space="0" w:color="000000"/>
              <w:left w:val="single" w:sz="8" w:space="0" w:color="000000"/>
              <w:bottom w:val="single" w:sz="8" w:space="0" w:color="000000"/>
              <w:right w:val="single" w:sz="8" w:space="0" w:color="000000"/>
            </w:tcBorders>
            <w:shd w:val="clear" w:color="auto" w:fill="CCCCCC"/>
            <w:vAlign w:val="bottom"/>
          </w:tcPr>
          <w:p w14:paraId="47A2B30C" w14:textId="77777777" w:rsidR="00F33C03" w:rsidRPr="00D756E5" w:rsidRDefault="00647E24">
            <w:pPr>
              <w:ind w:left="2"/>
            </w:pPr>
            <w:r w:rsidRPr="00D756E5">
              <w:rPr>
                <w:sz w:val="28"/>
              </w:rPr>
              <w:t>Ocenění</w:t>
            </w:r>
          </w:p>
        </w:tc>
      </w:tr>
      <w:tr w:rsidR="00F33C03" w14:paraId="6A2F4771" w14:textId="77777777">
        <w:trPr>
          <w:trHeight w:val="2777"/>
        </w:trPr>
        <w:tc>
          <w:tcPr>
            <w:tcW w:w="0" w:type="auto"/>
            <w:vMerge/>
            <w:tcBorders>
              <w:top w:val="nil"/>
              <w:left w:val="single" w:sz="8" w:space="0" w:color="000000"/>
              <w:bottom w:val="nil"/>
              <w:right w:val="single" w:sz="8" w:space="0" w:color="000000"/>
            </w:tcBorders>
          </w:tcPr>
          <w:p w14:paraId="07A25BAD" w14:textId="77777777" w:rsidR="00F33C03" w:rsidRPr="00D756E5" w:rsidRDefault="00F33C03"/>
        </w:tc>
        <w:tc>
          <w:tcPr>
            <w:tcW w:w="1798" w:type="dxa"/>
            <w:tcBorders>
              <w:top w:val="single" w:sz="8" w:space="0" w:color="000000"/>
              <w:left w:val="single" w:sz="8" w:space="0" w:color="000000"/>
              <w:bottom w:val="single" w:sz="8" w:space="0" w:color="000000"/>
              <w:right w:val="single" w:sz="8" w:space="0" w:color="000000"/>
            </w:tcBorders>
            <w:vAlign w:val="center"/>
          </w:tcPr>
          <w:p w14:paraId="7AA3A667" w14:textId="6232DA94" w:rsidR="00F33C03" w:rsidRPr="00D756E5" w:rsidRDefault="00452DFD">
            <w:pPr>
              <w:ind w:left="2"/>
            </w:pPr>
            <w:r>
              <w:rPr>
                <w:sz w:val="28"/>
              </w:rPr>
              <w:t>Životní p</w:t>
            </w:r>
            <w:r w:rsidR="00647E24" w:rsidRPr="00D756E5">
              <w:rPr>
                <w:sz w:val="28"/>
              </w:rPr>
              <w:t>rostředí</w:t>
            </w:r>
            <w:r>
              <w:rPr>
                <w:sz w:val="28"/>
              </w:rPr>
              <w:t xml:space="preserve"> a jiné</w:t>
            </w:r>
          </w:p>
        </w:tc>
        <w:tc>
          <w:tcPr>
            <w:tcW w:w="2208" w:type="dxa"/>
            <w:tcBorders>
              <w:top w:val="single" w:sz="8" w:space="0" w:color="000000"/>
              <w:left w:val="single" w:sz="8" w:space="0" w:color="000000"/>
              <w:bottom w:val="single" w:sz="8" w:space="0" w:color="000000"/>
              <w:right w:val="single" w:sz="8" w:space="0" w:color="000000"/>
            </w:tcBorders>
            <w:vAlign w:val="center"/>
          </w:tcPr>
          <w:p w14:paraId="50E6034F" w14:textId="37AF314C" w:rsidR="00F33C03" w:rsidRPr="00D756E5" w:rsidRDefault="00D756E5">
            <w:pPr>
              <w:ind w:left="2"/>
            </w:pPr>
            <w:r w:rsidRPr="00D756E5">
              <w:rPr>
                <w:sz w:val="28"/>
              </w:rPr>
              <w:t xml:space="preserve">Systém rozpoznávání znečištění životního prostředí pomocí </w:t>
            </w:r>
            <w:commentRangeStart w:id="0"/>
            <w:r w:rsidRPr="00D756E5">
              <w:rPr>
                <w:sz w:val="28"/>
              </w:rPr>
              <w:t>AI</w:t>
            </w:r>
            <w:commentRangeEnd w:id="0"/>
            <w:r w:rsidRPr="00D756E5">
              <w:rPr>
                <w:rStyle w:val="Odkaznakoment"/>
                <w:sz w:val="22"/>
                <w:szCs w:val="24"/>
              </w:rPr>
              <w:commentReference w:id="0"/>
            </w:r>
          </w:p>
        </w:tc>
        <w:tc>
          <w:tcPr>
            <w:tcW w:w="13156" w:type="dxa"/>
            <w:tcBorders>
              <w:top w:val="single" w:sz="8" w:space="0" w:color="000000"/>
              <w:left w:val="single" w:sz="8" w:space="0" w:color="000000"/>
              <w:bottom w:val="single" w:sz="8" w:space="0" w:color="000000"/>
              <w:right w:val="single" w:sz="8" w:space="0" w:color="000000"/>
            </w:tcBorders>
            <w:vAlign w:val="center"/>
          </w:tcPr>
          <w:p w14:paraId="2319D939" w14:textId="26FA5A63" w:rsidR="00F33C03" w:rsidRPr="00D756E5" w:rsidRDefault="00647E24">
            <w:pPr>
              <w:ind w:left="2" w:right="2"/>
              <w:jc w:val="both"/>
            </w:pPr>
            <w:r w:rsidRPr="00D756E5">
              <w:rPr>
                <w:sz w:val="28"/>
              </w:rPr>
              <w:t xml:space="preserve">Od roku 2023 vyvíjí Ministerstvo ochrany životního prostředí (DEP) mnohostrannou technologii rozpoznávání obrazu pomocí umělé inteligence. Tato iniciativa vyvrcholí v systému rozpoznávání environmentálního znečištění umělé inteligence, který obsahuje subsystémy určené k detekci stavebního prachu, kouře, silničního odpadu, upravených emisí výfukových plynů, problémů s kvalitou vody a porušení hygienických předpisů o životním prostředí. </w:t>
            </w:r>
            <w:r w:rsidR="00D756E5" w:rsidRPr="00D756E5">
              <w:rPr>
                <w:sz w:val="28"/>
              </w:rPr>
              <w:br/>
            </w:r>
            <w:r w:rsidRPr="00D756E5">
              <w:rPr>
                <w:sz w:val="28"/>
              </w:rPr>
              <w:t>Plnou integrací této rozpoznávací technologie s existujícími IoT senzory pro monitorování kvality ovzduší a vody, spolu se zvukovými kamerami, systém poskytuje efektivní, v reálném čase řízení a monitorování kvality ovzduší, kvality říční vody, ekologické čistoty a hluku motocyklů.</w:t>
            </w:r>
            <w:r w:rsidR="00D756E5" w:rsidRPr="00D756E5">
              <w:rPr>
                <w:sz w:val="28"/>
              </w:rPr>
              <w:t xml:space="preserve"> </w:t>
            </w:r>
          </w:p>
        </w:tc>
        <w:tc>
          <w:tcPr>
            <w:tcW w:w="296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AF2C49" w14:textId="77777777" w:rsidR="00F33C03" w:rsidRPr="00D756E5" w:rsidRDefault="00647E24">
            <w:pPr>
              <w:ind w:left="2"/>
            </w:pPr>
            <w:r w:rsidRPr="00D756E5">
              <w:rPr>
                <w:sz w:val="28"/>
              </w:rPr>
              <w:t>Eye on na Gartner 2024</w:t>
            </w:r>
          </w:p>
          <w:p w14:paraId="2842B86C" w14:textId="77777777" w:rsidR="00F33C03" w:rsidRPr="00D756E5" w:rsidRDefault="00647E24">
            <w:pPr>
              <w:spacing w:line="252" w:lineRule="auto"/>
              <w:ind w:left="2"/>
            </w:pPr>
            <w:r w:rsidRPr="00D756E5">
              <w:rPr>
                <w:sz w:val="28"/>
              </w:rPr>
              <w:t>Ocenění za inovace pro vládu udělené</w:t>
            </w:r>
          </w:p>
          <w:p w14:paraId="22A9E127" w14:textId="77777777" w:rsidR="00F33C03" w:rsidRPr="00D756E5" w:rsidRDefault="00647E24">
            <w:pPr>
              <w:ind w:left="2"/>
            </w:pPr>
            <w:r w:rsidRPr="00D756E5">
              <w:rPr>
                <w:sz w:val="28"/>
              </w:rPr>
              <w:t>první cena v regionu Asie a Pacifiku</w:t>
            </w:r>
          </w:p>
        </w:tc>
      </w:tr>
      <w:tr w:rsidR="00F33C03" w14:paraId="47A99F15" w14:textId="77777777">
        <w:trPr>
          <w:trHeight w:val="5583"/>
        </w:trPr>
        <w:tc>
          <w:tcPr>
            <w:tcW w:w="0" w:type="auto"/>
            <w:vMerge/>
            <w:tcBorders>
              <w:top w:val="nil"/>
              <w:left w:val="single" w:sz="8" w:space="0" w:color="000000"/>
              <w:bottom w:val="single" w:sz="8" w:space="0" w:color="000000"/>
              <w:right w:val="single" w:sz="8" w:space="0" w:color="000000"/>
            </w:tcBorders>
          </w:tcPr>
          <w:p w14:paraId="32D4B5AF" w14:textId="77777777" w:rsidR="00F33C03" w:rsidRDefault="00F33C03"/>
        </w:tc>
        <w:tc>
          <w:tcPr>
            <w:tcW w:w="1798" w:type="dxa"/>
            <w:tcBorders>
              <w:top w:val="single" w:sz="8" w:space="0" w:color="000000"/>
              <w:left w:val="single" w:sz="8" w:space="0" w:color="000000"/>
              <w:bottom w:val="single" w:sz="8" w:space="0" w:color="000000"/>
              <w:right w:val="single" w:sz="8" w:space="0" w:color="000000"/>
            </w:tcBorders>
          </w:tcPr>
          <w:p w14:paraId="254AC92D"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41148B94" w14:textId="5BF288FE" w:rsidR="00F33C03" w:rsidRDefault="00647E24">
            <w:pPr>
              <w:spacing w:line="252" w:lineRule="auto"/>
              <w:ind w:left="2"/>
            </w:pPr>
            <w:r>
              <w:rPr>
                <w:sz w:val="28"/>
              </w:rPr>
              <w:t xml:space="preserve">Bezpečnost s podporou </w:t>
            </w:r>
            <w:r w:rsidR="00D756E5">
              <w:rPr>
                <w:sz w:val="28"/>
              </w:rPr>
              <w:t>AI</w:t>
            </w:r>
            <w:r>
              <w:rPr>
                <w:sz w:val="28"/>
              </w:rPr>
              <w:t xml:space="preserve"> a mnohostrannou bezpečnost</w:t>
            </w:r>
            <w:r w:rsidR="00D756E5">
              <w:rPr>
                <w:sz w:val="28"/>
              </w:rPr>
              <w:t>;</w:t>
            </w:r>
          </w:p>
          <w:p w14:paraId="4C3B8A80" w14:textId="77777777" w:rsidR="00F33C03" w:rsidRDefault="00647E24">
            <w:pPr>
              <w:ind w:left="2"/>
            </w:pPr>
            <w:r>
              <w:rPr>
                <w:sz w:val="28"/>
              </w:rPr>
              <w:t>Ochrana pro</w:t>
            </w:r>
          </w:p>
          <w:p w14:paraId="233D3342" w14:textId="4186AF4D" w:rsidR="00F33C03" w:rsidRDefault="00647E24">
            <w:pPr>
              <w:ind w:left="2"/>
            </w:pPr>
            <w:r>
              <w:rPr>
                <w:sz w:val="28"/>
              </w:rPr>
              <w:t>Chodc</w:t>
            </w:r>
            <w:r w:rsidR="00D756E5">
              <w:rPr>
                <w:sz w:val="28"/>
              </w:rPr>
              <w:t>e</w:t>
            </w:r>
          </w:p>
        </w:tc>
        <w:tc>
          <w:tcPr>
            <w:tcW w:w="13156" w:type="dxa"/>
            <w:tcBorders>
              <w:top w:val="single" w:sz="8" w:space="0" w:color="000000"/>
              <w:left w:val="single" w:sz="8" w:space="0" w:color="000000"/>
              <w:bottom w:val="single" w:sz="8" w:space="0" w:color="000000"/>
              <w:right w:val="single" w:sz="8" w:space="0" w:color="000000"/>
            </w:tcBorders>
            <w:vAlign w:val="center"/>
          </w:tcPr>
          <w:p w14:paraId="7DE42DE2" w14:textId="77777777" w:rsidR="00F33C03" w:rsidRDefault="00647E24">
            <w:pPr>
              <w:spacing w:after="6" w:line="261" w:lineRule="auto"/>
              <w:ind w:left="2" w:right="2"/>
              <w:jc w:val="both"/>
            </w:pPr>
            <w:r>
              <w:rPr>
                <w:sz w:val="28"/>
              </w:rPr>
              <w:t>Ministerstvo dopravy, policie, Úřad pro údržbu silnic a doplňků a Komise pro rozvoj chytrých měst a komunit společně podporují mezirezortní "AI-podporovanou, mnohostrannou ochranu bezpečnosti chodců", která integruje bezpečnostní politiky a opatření pro chodce napříč městskými odděleními.</w:t>
            </w:r>
          </w:p>
          <w:p w14:paraId="35C13F2C" w14:textId="77777777" w:rsidR="00F33C03" w:rsidRDefault="00647E24">
            <w:pPr>
              <w:spacing w:after="9"/>
              <w:ind w:left="2" w:right="2"/>
              <w:jc w:val="both"/>
            </w:pPr>
            <w:r>
              <w:rPr>
                <w:sz w:val="28"/>
              </w:rPr>
              <w:t>Mezi těmito iniciativami jsou "Systém varování před přechody pro chodce" a "Systém připomínky rychlosti usměvavých vozidel" využívající AI rozpoznávání obrazu a radarovou detekci rychlosti k monitorování vozidel a chodců na křižovatkách, čímž připomínají účastníkům silničního provozu, aby zůstali ve střehu.</w:t>
            </w:r>
          </w:p>
          <w:p w14:paraId="51A14F6E" w14:textId="77777777" w:rsidR="00F33C03" w:rsidRDefault="00647E24">
            <w:pPr>
              <w:spacing w:after="7" w:line="261" w:lineRule="auto"/>
              <w:ind w:left="2" w:right="2"/>
              <w:jc w:val="both"/>
            </w:pPr>
            <w:r>
              <w:rPr>
                <w:sz w:val="28"/>
              </w:rPr>
              <w:t>Taoyuan také zavedl program Dual Color Streetlight na důležitých křižovatkách. Vytvářením kontrastu mezi teplými světly na silnici a chladnými světly na křižovatkách zvyšuje světelná konstrukce pozornost řidičů při přijíždění k semaforům a zvyšuje viditelnost chodců při přecházení, čímž zvyšuje bezpečnost na křižovatkách v noci.</w:t>
            </w:r>
          </w:p>
          <w:p w14:paraId="3470FDA3" w14:textId="77777777" w:rsidR="00F33C03" w:rsidRDefault="00647E24">
            <w:pPr>
              <w:ind w:left="2" w:right="3"/>
              <w:jc w:val="both"/>
            </w:pPr>
            <w:r>
              <w:rPr>
                <w:sz w:val="28"/>
              </w:rPr>
              <w:t>Kromě toho město vynucuje technologicky podporované monitorování řidičů, kteří nedávají přednost chodcům na křižovatkách. Díky spolupráci mezi agenturami a aplikaci chytrých technologií se Taoyuan výrazně zlepšil v oblasti bezpečnosti chodců.</w:t>
            </w:r>
          </w:p>
        </w:tc>
        <w:tc>
          <w:tcPr>
            <w:tcW w:w="2962" w:type="dxa"/>
            <w:tcBorders>
              <w:top w:val="single" w:sz="8" w:space="0" w:color="000000"/>
              <w:left w:val="single" w:sz="8" w:space="0" w:color="000000"/>
              <w:bottom w:val="single" w:sz="8" w:space="0" w:color="000000"/>
              <w:right w:val="single" w:sz="8" w:space="0" w:color="000000"/>
            </w:tcBorders>
            <w:vAlign w:val="center"/>
          </w:tcPr>
          <w:p w14:paraId="6DBF2569" w14:textId="77777777" w:rsidR="00F33C03" w:rsidRDefault="00647E24">
            <w:pPr>
              <w:ind w:left="2"/>
            </w:pPr>
            <w:r>
              <w:rPr>
                <w:sz w:val="28"/>
              </w:rPr>
              <w:t>Eye on na Gartner 2024</w:t>
            </w:r>
          </w:p>
          <w:p w14:paraId="590B2D1F" w14:textId="05F12CA0" w:rsidR="00F33C03" w:rsidRDefault="00647E24">
            <w:pPr>
              <w:spacing w:line="252" w:lineRule="auto"/>
              <w:ind w:left="2"/>
            </w:pPr>
            <w:r>
              <w:rPr>
                <w:sz w:val="28"/>
              </w:rPr>
              <w:t>Inovační ceny</w:t>
            </w:r>
            <w:r w:rsidR="00D756E5">
              <w:rPr>
                <w:sz w:val="28"/>
              </w:rPr>
              <w:br/>
            </w:r>
            <w:r>
              <w:rPr>
                <w:sz w:val="28"/>
              </w:rPr>
              <w:t>Druhé místo /Soul</w:t>
            </w:r>
          </w:p>
          <w:p w14:paraId="1CCEE165" w14:textId="66FFFF47" w:rsidR="00F33C03" w:rsidRDefault="00647E24">
            <w:pPr>
              <w:ind w:left="2"/>
            </w:pPr>
            <w:r>
              <w:rPr>
                <w:sz w:val="28"/>
              </w:rPr>
              <w:t>Cena Smart City 2024</w:t>
            </w:r>
            <w:r w:rsidR="00D756E5">
              <w:rPr>
                <w:sz w:val="28"/>
              </w:rPr>
              <w:t xml:space="preserve"> </w:t>
            </w:r>
            <w:r>
              <w:rPr>
                <w:sz w:val="28"/>
              </w:rPr>
              <w:t>Bronzová cena</w:t>
            </w:r>
          </w:p>
        </w:tc>
      </w:tr>
    </w:tbl>
    <w:p w14:paraId="5148B5BB" w14:textId="77777777" w:rsidR="00F33C03" w:rsidRDefault="00F33C03">
      <w:pPr>
        <w:spacing w:after="0"/>
        <w:ind w:left="-1440" w:right="22368"/>
      </w:pPr>
    </w:p>
    <w:tbl>
      <w:tblPr>
        <w:tblStyle w:val="TableGrid"/>
        <w:tblW w:w="21482" w:type="dxa"/>
        <w:tblInd w:w="-286" w:type="dxa"/>
        <w:tblCellMar>
          <w:top w:w="37" w:type="dxa"/>
          <w:left w:w="46" w:type="dxa"/>
          <w:bottom w:w="37" w:type="dxa"/>
          <w:right w:w="40" w:type="dxa"/>
        </w:tblCellMar>
        <w:tblLook w:val="04A0" w:firstRow="1" w:lastRow="0" w:firstColumn="1" w:lastColumn="0" w:noHBand="0" w:noVBand="1"/>
      </w:tblPr>
      <w:tblGrid>
        <w:gridCol w:w="1356"/>
        <w:gridCol w:w="1798"/>
        <w:gridCol w:w="2208"/>
        <w:gridCol w:w="13156"/>
        <w:gridCol w:w="2964"/>
      </w:tblGrid>
      <w:tr w:rsidR="00F33C03" w14:paraId="57160DBF" w14:textId="77777777">
        <w:trPr>
          <w:trHeight w:val="4711"/>
        </w:trPr>
        <w:tc>
          <w:tcPr>
            <w:tcW w:w="1356" w:type="dxa"/>
            <w:tcBorders>
              <w:top w:val="single" w:sz="8" w:space="0" w:color="000000"/>
              <w:left w:val="single" w:sz="8" w:space="0" w:color="000000"/>
              <w:bottom w:val="nil"/>
              <w:right w:val="single" w:sz="8" w:space="0" w:color="000000"/>
            </w:tcBorders>
          </w:tcPr>
          <w:p w14:paraId="6D709D40" w14:textId="77777777" w:rsidR="00F33C03" w:rsidRDefault="00F33C03"/>
        </w:tc>
        <w:tc>
          <w:tcPr>
            <w:tcW w:w="1798" w:type="dxa"/>
            <w:tcBorders>
              <w:top w:val="single" w:sz="8" w:space="0" w:color="000000"/>
              <w:left w:val="single" w:sz="8" w:space="0" w:color="000000"/>
              <w:bottom w:val="nil"/>
              <w:right w:val="single" w:sz="8" w:space="0" w:color="000000"/>
            </w:tcBorders>
          </w:tcPr>
          <w:p w14:paraId="144D83AF" w14:textId="77777777" w:rsidR="00F33C03" w:rsidRDefault="00F33C03"/>
        </w:tc>
        <w:tc>
          <w:tcPr>
            <w:tcW w:w="2208" w:type="dxa"/>
            <w:tcBorders>
              <w:top w:val="single" w:sz="8" w:space="0" w:color="000000"/>
              <w:left w:val="single" w:sz="8" w:space="0" w:color="000000"/>
              <w:bottom w:val="nil"/>
              <w:right w:val="single" w:sz="8" w:space="0" w:color="000000"/>
            </w:tcBorders>
            <w:vAlign w:val="bottom"/>
          </w:tcPr>
          <w:p w14:paraId="7CC1858C" w14:textId="4AB80F3D" w:rsidR="00F33C03" w:rsidRDefault="00D756E5">
            <w:r>
              <w:rPr>
                <w:sz w:val="28"/>
              </w:rPr>
              <w:t>C</w:t>
            </w:r>
            <w:r w:rsidR="00647E24">
              <w:rPr>
                <w:sz w:val="28"/>
              </w:rPr>
              <w:t>hytrý dopravní systém</w:t>
            </w:r>
            <w:r>
              <w:rPr>
                <w:sz w:val="28"/>
              </w:rPr>
              <w:t xml:space="preserve"> města Taoyuanu</w:t>
            </w:r>
          </w:p>
        </w:tc>
        <w:tc>
          <w:tcPr>
            <w:tcW w:w="13156" w:type="dxa"/>
            <w:tcBorders>
              <w:top w:val="single" w:sz="8" w:space="0" w:color="000000"/>
              <w:left w:val="single" w:sz="8" w:space="0" w:color="000000"/>
              <w:bottom w:val="nil"/>
              <w:right w:val="single" w:sz="8" w:space="0" w:color="000000"/>
            </w:tcBorders>
            <w:vAlign w:val="bottom"/>
          </w:tcPr>
          <w:p w14:paraId="272D35CF" w14:textId="77777777" w:rsidR="00F33C03" w:rsidRDefault="00647E24">
            <w:pPr>
              <w:spacing w:line="252" w:lineRule="auto"/>
              <w:jc w:val="both"/>
            </w:pPr>
            <w:r>
              <w:rPr>
                <w:sz w:val="28"/>
              </w:rPr>
              <w:t>Ministerstvo dopravy zavedlo tři hlavní chytré dopravní systémy – "AI řízení semaforů", "Systém varování před přechody pro chodce" a "Systém připomínky rychlosti usměvavých vozidel".</w:t>
            </w:r>
          </w:p>
          <w:p w14:paraId="0C761A0C" w14:textId="77777777" w:rsidR="00F33C03" w:rsidRDefault="00647E24">
            <w:pPr>
              <w:numPr>
                <w:ilvl w:val="0"/>
                <w:numId w:val="1"/>
              </w:numPr>
              <w:spacing w:after="8"/>
              <w:ind w:hanging="277"/>
            </w:pPr>
            <w:r>
              <w:rPr>
                <w:sz w:val="28"/>
              </w:rPr>
              <w:t>AI řízení semaforů:</w:t>
            </w:r>
          </w:p>
          <w:p w14:paraId="29D1FBA7" w14:textId="77777777" w:rsidR="00F33C03" w:rsidRDefault="00647E24">
            <w:pPr>
              <w:spacing w:line="261" w:lineRule="auto"/>
              <w:jc w:val="both"/>
            </w:pPr>
            <w:r>
              <w:rPr>
                <w:sz w:val="28"/>
              </w:rPr>
              <w:t>Na křižovatkách jsou nasazovány rozpoznávání toku provozu a strojové učení založené na AI, aby sbíraly data o toku provozu v reálném čase. Systém automaticky upravuje časování signálu na základě dynamických podmínek. V současnosti je systém implementován na 92 křižovatkách v Taoyuanu, zvýšil celkovou efektivitu dopravy o 5 % a snížil průměrnou dobu čekání o 20 %, snížil dopravní zácpy a zlepšil efektivitu dojíždění.</w:t>
            </w:r>
          </w:p>
          <w:p w14:paraId="77AFFF78" w14:textId="77777777" w:rsidR="00F33C03" w:rsidRDefault="00647E24">
            <w:pPr>
              <w:numPr>
                <w:ilvl w:val="0"/>
                <w:numId w:val="1"/>
              </w:numPr>
              <w:spacing w:after="8"/>
              <w:ind w:hanging="277"/>
            </w:pPr>
            <w:r>
              <w:rPr>
                <w:sz w:val="28"/>
              </w:rPr>
              <w:t>Systém varování před přechody pro chodce:</w:t>
            </w:r>
          </w:p>
          <w:p w14:paraId="35E89B93" w14:textId="77777777" w:rsidR="00F33C03" w:rsidRDefault="00647E24">
            <w:pPr>
              <w:ind w:right="1"/>
              <w:jc w:val="both"/>
            </w:pPr>
            <w:r>
              <w:rPr>
                <w:sz w:val="28"/>
              </w:rPr>
              <w:t>Na místech, kde jsou křižovatky příliš blízko pro instalaci tradičních semaforů, se AI rozpoznávání obrazu používá k detekci, kdy se chodci připravují na přechod. Systém pak aktivuje výstražná světla, aby řidiče upozornil na zpomalení. Nasazený na 20 křižovatkách, snížil počet nehod o 80 % a snížil průměrnou rychlost vozidel o</w:t>
            </w:r>
          </w:p>
        </w:tc>
        <w:tc>
          <w:tcPr>
            <w:tcW w:w="2964" w:type="dxa"/>
            <w:tcBorders>
              <w:top w:val="single" w:sz="8" w:space="0" w:color="000000"/>
              <w:left w:val="single" w:sz="8" w:space="0" w:color="000000"/>
              <w:bottom w:val="nil"/>
              <w:right w:val="single" w:sz="8" w:space="0" w:color="000000"/>
            </w:tcBorders>
          </w:tcPr>
          <w:p w14:paraId="37A52F58" w14:textId="77777777" w:rsidR="00F33C03" w:rsidRDefault="00F33C03"/>
        </w:tc>
      </w:tr>
      <w:tr w:rsidR="00F33C03" w14:paraId="55E8F49D" w14:textId="77777777">
        <w:trPr>
          <w:trHeight w:val="3214"/>
        </w:trPr>
        <w:tc>
          <w:tcPr>
            <w:tcW w:w="1356" w:type="dxa"/>
            <w:tcBorders>
              <w:top w:val="nil"/>
              <w:left w:val="single" w:sz="8" w:space="0" w:color="000000"/>
              <w:bottom w:val="single" w:sz="8" w:space="0" w:color="000000"/>
              <w:right w:val="single" w:sz="8" w:space="0" w:color="000000"/>
            </w:tcBorders>
          </w:tcPr>
          <w:p w14:paraId="041A3CDF" w14:textId="77777777" w:rsidR="00F33C03" w:rsidRDefault="00F33C03"/>
        </w:tc>
        <w:tc>
          <w:tcPr>
            <w:tcW w:w="1798" w:type="dxa"/>
            <w:tcBorders>
              <w:top w:val="nil"/>
              <w:left w:val="single" w:sz="8" w:space="0" w:color="000000"/>
              <w:bottom w:val="single" w:sz="8" w:space="0" w:color="000000"/>
              <w:right w:val="single" w:sz="8" w:space="0" w:color="000000"/>
            </w:tcBorders>
          </w:tcPr>
          <w:p w14:paraId="7D9DDA60" w14:textId="77777777" w:rsidR="00F33C03" w:rsidRDefault="00647E24">
            <w:pPr>
              <w:jc w:val="both"/>
            </w:pPr>
            <w:r>
              <w:rPr>
                <w:sz w:val="28"/>
              </w:rPr>
              <w:t>Doprava</w:t>
            </w:r>
          </w:p>
        </w:tc>
        <w:tc>
          <w:tcPr>
            <w:tcW w:w="2208" w:type="dxa"/>
            <w:tcBorders>
              <w:top w:val="nil"/>
              <w:left w:val="single" w:sz="8" w:space="0" w:color="000000"/>
              <w:bottom w:val="single" w:sz="8" w:space="0" w:color="000000"/>
              <w:right w:val="single" w:sz="8" w:space="0" w:color="000000"/>
            </w:tcBorders>
          </w:tcPr>
          <w:p w14:paraId="2BCF8AE3" w14:textId="77777777" w:rsidR="00F33C03" w:rsidRDefault="00F33C03"/>
        </w:tc>
        <w:tc>
          <w:tcPr>
            <w:tcW w:w="13156" w:type="dxa"/>
            <w:tcBorders>
              <w:top w:val="nil"/>
              <w:left w:val="single" w:sz="8" w:space="0" w:color="000000"/>
              <w:bottom w:val="single" w:sz="8" w:space="0" w:color="000000"/>
              <w:right w:val="single" w:sz="8" w:space="0" w:color="000000"/>
            </w:tcBorders>
          </w:tcPr>
          <w:p w14:paraId="5410039A" w14:textId="77777777" w:rsidR="00F33C03" w:rsidRDefault="00647E24">
            <w:r>
              <w:rPr>
                <w:sz w:val="28"/>
              </w:rPr>
              <w:t>30%.</w:t>
            </w:r>
          </w:p>
          <w:p w14:paraId="0566FC52" w14:textId="77777777" w:rsidR="00F33C03" w:rsidRDefault="00647E24">
            <w:pPr>
              <w:spacing w:after="9"/>
            </w:pPr>
            <w:r>
              <w:rPr>
                <w:sz w:val="28"/>
              </w:rPr>
              <w:t>3. Systém připomínky rychlosti vozidla s úsměvem:</w:t>
            </w:r>
          </w:p>
          <w:p w14:paraId="5AEA934E" w14:textId="77777777" w:rsidR="00F33C03" w:rsidRDefault="00647E24">
            <w:pPr>
              <w:jc w:val="both"/>
            </w:pPr>
            <w:r>
              <w:rPr>
                <w:sz w:val="28"/>
              </w:rPr>
              <w:t>Na rozdíl od konvenčních radarů kombinuje tento systém detekci rychlosti v reálném čase s uživatelsky přívětivou vizuální zpětnou vazbou. Když řidiči překročí povolenou rychlost, displej se objeví zamračený výraz, zatímco ti, kteří udržují bezpečnou rychlost, se usmějí. Data z 21 míst instalace ukazují, že rychlost klesla o 70 % a dopravní nehody o 80 %. Systém se ukázal jako obzvlášť účinný v blízkosti školních zón, kde nejen snižuje rychlost vozidel, ale také přidává pocit přátelství a zapojení do bezpečnostních opatření v silničním provozu.</w:t>
            </w:r>
          </w:p>
        </w:tc>
        <w:tc>
          <w:tcPr>
            <w:tcW w:w="2964" w:type="dxa"/>
            <w:tcBorders>
              <w:top w:val="nil"/>
              <w:left w:val="single" w:sz="8" w:space="0" w:color="000000"/>
              <w:bottom w:val="single" w:sz="8" w:space="0" w:color="000000"/>
              <w:right w:val="single" w:sz="8" w:space="0" w:color="000000"/>
            </w:tcBorders>
          </w:tcPr>
          <w:p w14:paraId="7421F60B" w14:textId="77777777" w:rsidR="00F33C03" w:rsidRDefault="00F33C03"/>
        </w:tc>
      </w:tr>
    </w:tbl>
    <w:p w14:paraId="64FD052C" w14:textId="77777777" w:rsidR="00F33C03" w:rsidRDefault="00F33C03">
      <w:pPr>
        <w:spacing w:after="0"/>
        <w:ind w:left="-1440" w:right="22368"/>
      </w:pPr>
    </w:p>
    <w:tbl>
      <w:tblPr>
        <w:tblStyle w:val="TableGrid"/>
        <w:tblW w:w="21482" w:type="dxa"/>
        <w:tblInd w:w="-286" w:type="dxa"/>
        <w:tblCellMar>
          <w:left w:w="46" w:type="dxa"/>
          <w:right w:w="39" w:type="dxa"/>
        </w:tblCellMar>
        <w:tblLook w:val="04A0" w:firstRow="1" w:lastRow="0" w:firstColumn="1" w:lastColumn="0" w:noHBand="0" w:noVBand="1"/>
      </w:tblPr>
      <w:tblGrid>
        <w:gridCol w:w="1356"/>
        <w:gridCol w:w="1798"/>
        <w:gridCol w:w="2208"/>
        <w:gridCol w:w="13156"/>
        <w:gridCol w:w="2964"/>
      </w:tblGrid>
      <w:tr w:rsidR="00F33C03" w14:paraId="7BAE7AD4" w14:textId="77777777">
        <w:trPr>
          <w:trHeight w:val="7650"/>
        </w:trPr>
        <w:tc>
          <w:tcPr>
            <w:tcW w:w="1356" w:type="dxa"/>
            <w:vMerge w:val="restart"/>
            <w:tcBorders>
              <w:top w:val="single" w:sz="8" w:space="0" w:color="000000"/>
              <w:left w:val="single" w:sz="8" w:space="0" w:color="000000"/>
              <w:bottom w:val="single" w:sz="8" w:space="0" w:color="000000"/>
              <w:right w:val="single" w:sz="8" w:space="0" w:color="000000"/>
            </w:tcBorders>
          </w:tcPr>
          <w:p w14:paraId="59BC5687" w14:textId="77777777" w:rsidR="00F33C03" w:rsidRDefault="00F33C03"/>
        </w:tc>
        <w:tc>
          <w:tcPr>
            <w:tcW w:w="1798" w:type="dxa"/>
            <w:tcBorders>
              <w:top w:val="single" w:sz="8" w:space="0" w:color="000000"/>
              <w:left w:val="single" w:sz="8" w:space="0" w:color="000000"/>
              <w:bottom w:val="single" w:sz="8" w:space="0" w:color="000000"/>
              <w:right w:val="single" w:sz="8" w:space="0" w:color="000000"/>
            </w:tcBorders>
          </w:tcPr>
          <w:p w14:paraId="29506850"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4379A47B" w14:textId="77777777" w:rsidR="00D756E5" w:rsidRPr="00D756E5" w:rsidRDefault="00D756E5" w:rsidP="00D756E5">
            <w:pPr>
              <w:rPr>
                <w:sz w:val="28"/>
              </w:rPr>
            </w:pPr>
            <w:r w:rsidRPr="00D756E5">
              <w:rPr>
                <w:sz w:val="28"/>
              </w:rPr>
              <w:t>Taoyuan MRT:</w:t>
            </w:r>
          </w:p>
          <w:p w14:paraId="2CA7C8E5" w14:textId="77777777" w:rsidR="00D756E5" w:rsidRPr="00D756E5" w:rsidRDefault="00D756E5" w:rsidP="00D756E5">
            <w:pPr>
              <w:rPr>
                <w:sz w:val="28"/>
              </w:rPr>
            </w:pPr>
            <w:r w:rsidRPr="00D756E5">
              <w:rPr>
                <w:sz w:val="28"/>
              </w:rPr>
              <w:t>Chytrý dopravní</w:t>
            </w:r>
          </w:p>
          <w:p w14:paraId="3BD2B43C" w14:textId="77777777" w:rsidR="00D756E5" w:rsidRPr="00D756E5" w:rsidRDefault="00D756E5" w:rsidP="00D756E5">
            <w:pPr>
              <w:rPr>
                <w:sz w:val="28"/>
              </w:rPr>
            </w:pPr>
            <w:r w:rsidRPr="00D756E5">
              <w:rPr>
                <w:sz w:val="28"/>
              </w:rPr>
              <w:t>systém</w:t>
            </w:r>
          </w:p>
          <w:p w14:paraId="1D5940BC" w14:textId="77777777" w:rsidR="00D756E5" w:rsidRPr="00D756E5" w:rsidRDefault="00D756E5" w:rsidP="00D756E5">
            <w:pPr>
              <w:rPr>
                <w:sz w:val="28"/>
              </w:rPr>
            </w:pPr>
          </w:p>
          <w:p w14:paraId="7D070401" w14:textId="5D208420" w:rsidR="00F33C03" w:rsidRDefault="00F33C03"/>
        </w:tc>
        <w:tc>
          <w:tcPr>
            <w:tcW w:w="13156" w:type="dxa"/>
            <w:tcBorders>
              <w:top w:val="single" w:sz="8" w:space="0" w:color="000000"/>
              <w:left w:val="single" w:sz="8" w:space="0" w:color="000000"/>
              <w:bottom w:val="single" w:sz="8" w:space="0" w:color="000000"/>
              <w:right w:val="single" w:sz="8" w:space="0" w:color="000000"/>
            </w:tcBorders>
            <w:vAlign w:val="center"/>
          </w:tcPr>
          <w:p w14:paraId="113182BE" w14:textId="126E5CA4" w:rsidR="00F33C03" w:rsidRDefault="00647E24">
            <w:pPr>
              <w:jc w:val="both"/>
            </w:pPr>
            <w:r>
              <w:rPr>
                <w:sz w:val="28"/>
              </w:rPr>
              <w:t xml:space="preserve">Inteligentní dopravní vývoj metra </w:t>
            </w:r>
            <w:r w:rsidR="00D756E5">
              <w:rPr>
                <w:sz w:val="28"/>
              </w:rPr>
              <w:t xml:space="preserve">ve městě </w:t>
            </w:r>
            <w:r>
              <w:rPr>
                <w:sz w:val="28"/>
              </w:rPr>
              <w:t>Taoyuan zahrnuje čtyři hlavní systémy: systém Smart Rail Monitoring System "Metro MARS" a tři odlišné chytré služby pro cestující — "obousměrný překladový počítač", "Q Clean Code Cleaning" a "Smart Elevator Calling Service".</w:t>
            </w:r>
          </w:p>
          <w:p w14:paraId="3371678D" w14:textId="77777777" w:rsidR="00F33C03" w:rsidRDefault="00647E24">
            <w:pPr>
              <w:spacing w:after="8"/>
            </w:pPr>
            <w:r>
              <w:rPr>
                <w:sz w:val="28"/>
              </w:rPr>
              <w:t>1. Metro MARS</w:t>
            </w:r>
          </w:p>
          <w:p w14:paraId="10962413" w14:textId="77777777" w:rsidR="00D756E5" w:rsidRDefault="00647E24">
            <w:pPr>
              <w:spacing w:after="7" w:line="260" w:lineRule="auto"/>
              <w:ind w:right="1"/>
              <w:jc w:val="both"/>
              <w:rPr>
                <w:sz w:val="28"/>
              </w:rPr>
            </w:pPr>
            <w:r>
              <w:rPr>
                <w:sz w:val="28"/>
              </w:rPr>
              <w:t xml:space="preserve">Nezávisle vyvinutý společností Taoyuan Metro Corporation, preventivní výstražné funkce systému umožňují nápravná opatření před poruchami zařízení, čímž dosahují prediktivní údržby a výrazně zvyšují celkovou stabilitu systému. Navíc integrovaná datová platforma poskytuje komplexní analýzu, která zaměstnancům umožňuje plně pochopit provozní podmínky, přesně identifikovat špičková provozní období a provádět provozní úpravy založené na datech. </w:t>
            </w:r>
          </w:p>
          <w:p w14:paraId="209E4C5D" w14:textId="0FE29509" w:rsidR="00F33C03" w:rsidRDefault="00647E24">
            <w:pPr>
              <w:spacing w:after="7" w:line="260" w:lineRule="auto"/>
              <w:ind w:right="1"/>
              <w:jc w:val="both"/>
            </w:pPr>
            <w:r>
              <w:rPr>
                <w:sz w:val="28"/>
              </w:rPr>
              <w:t xml:space="preserve">2. </w:t>
            </w:r>
            <w:r w:rsidR="00D756E5">
              <w:rPr>
                <w:sz w:val="28"/>
              </w:rPr>
              <w:t>Obousměrný překladový počítač</w:t>
            </w:r>
          </w:p>
          <w:p w14:paraId="73E451D7" w14:textId="77777777" w:rsidR="00F33C03" w:rsidRDefault="00647E24">
            <w:pPr>
              <w:spacing w:line="252" w:lineRule="auto"/>
              <w:jc w:val="both"/>
            </w:pPr>
            <w:r>
              <w:rPr>
                <w:sz w:val="28"/>
              </w:rPr>
              <w:t>Systém překonává jazykové bariéry a nabízí překladatelskou podporu v sedmi jazycích: mandarínštině, angličtině, japonštině, korejštině, indštině, thajštině a vietnamštině.</w:t>
            </w:r>
          </w:p>
          <w:p w14:paraId="19249EF1" w14:textId="77777777" w:rsidR="00F33C03" w:rsidRDefault="00647E24">
            <w:pPr>
              <w:numPr>
                <w:ilvl w:val="0"/>
                <w:numId w:val="2"/>
              </w:numPr>
              <w:spacing w:after="8"/>
              <w:ind w:hanging="277"/>
            </w:pPr>
            <w:commentRangeStart w:id="1"/>
            <w:r>
              <w:rPr>
                <w:sz w:val="28"/>
              </w:rPr>
              <w:t>Q Čištění kódů</w:t>
            </w:r>
          </w:p>
          <w:p w14:paraId="2CF24484" w14:textId="77777777" w:rsidR="00F33C03" w:rsidRDefault="00647E24">
            <w:pPr>
              <w:spacing w:line="252" w:lineRule="auto"/>
              <w:jc w:val="both"/>
            </w:pPr>
            <w:r>
              <w:rPr>
                <w:sz w:val="28"/>
              </w:rPr>
              <w:t>Zve cestující, aby používali QR kód pro okamžité zprávy a hlásili, kdy je potřeba uklízet v autě, což zajišťuje pohodlnější cestu.</w:t>
            </w:r>
            <w:commentRangeEnd w:id="1"/>
            <w:r w:rsidR="00D756E5">
              <w:rPr>
                <w:rStyle w:val="Odkaznakoment"/>
                <w:sz w:val="22"/>
                <w:szCs w:val="24"/>
              </w:rPr>
              <w:commentReference w:id="1"/>
            </w:r>
          </w:p>
          <w:p w14:paraId="653B41EF" w14:textId="3BEEFE54" w:rsidR="00F33C03" w:rsidRDefault="00647E24">
            <w:pPr>
              <w:numPr>
                <w:ilvl w:val="0"/>
                <w:numId w:val="2"/>
              </w:numPr>
              <w:spacing w:after="8"/>
              <w:ind w:hanging="277"/>
            </w:pPr>
            <w:r>
              <w:rPr>
                <w:sz w:val="28"/>
              </w:rPr>
              <w:t>Chytrá služba volání výtah</w:t>
            </w:r>
            <w:r w:rsidR="00D756E5">
              <w:rPr>
                <w:sz w:val="28"/>
              </w:rPr>
              <w:t>u</w:t>
            </w:r>
          </w:p>
          <w:p w14:paraId="2D5D60B1" w14:textId="4B848444" w:rsidR="00F33C03" w:rsidRDefault="00647E24">
            <w:pPr>
              <w:jc w:val="both"/>
            </w:pPr>
            <w:r>
              <w:rPr>
                <w:sz w:val="28"/>
              </w:rPr>
              <w:t xml:space="preserve">Využívá zobrazovací technologii k automatickému přivolání výtahu pro cestující se speciálními potřebami, například pro ty, kteří nesou velká zavazadla nebo </w:t>
            </w:r>
            <w:r w:rsidR="00D756E5">
              <w:rPr>
                <w:sz w:val="28"/>
              </w:rPr>
              <w:t>kteří jsou na vozíčku</w:t>
            </w:r>
            <w:r>
              <w:rPr>
                <w:sz w:val="28"/>
              </w:rPr>
              <w:t>. Tento systém efektivně zkracuje čekací dobu cestujících, čímž zvyšuje celkové pohodlí jízdy.</w:t>
            </w:r>
          </w:p>
        </w:tc>
        <w:tc>
          <w:tcPr>
            <w:tcW w:w="2964" w:type="dxa"/>
            <w:tcBorders>
              <w:top w:val="single" w:sz="8" w:space="0" w:color="000000"/>
              <w:left w:val="single" w:sz="8" w:space="0" w:color="000000"/>
              <w:bottom w:val="single" w:sz="8" w:space="0" w:color="000000"/>
              <w:right w:val="single" w:sz="8" w:space="0" w:color="000000"/>
            </w:tcBorders>
          </w:tcPr>
          <w:p w14:paraId="72532B3B" w14:textId="77777777" w:rsidR="00F33C03" w:rsidRDefault="00F33C03"/>
        </w:tc>
      </w:tr>
      <w:tr w:rsidR="00F33C03" w14:paraId="3D9617EA" w14:textId="77777777">
        <w:trPr>
          <w:trHeight w:val="3476"/>
        </w:trPr>
        <w:tc>
          <w:tcPr>
            <w:tcW w:w="0" w:type="auto"/>
            <w:vMerge/>
            <w:tcBorders>
              <w:top w:val="nil"/>
              <w:left w:val="single" w:sz="8" w:space="0" w:color="000000"/>
              <w:bottom w:val="single" w:sz="8" w:space="0" w:color="000000"/>
              <w:right w:val="single" w:sz="8" w:space="0" w:color="000000"/>
            </w:tcBorders>
          </w:tcPr>
          <w:p w14:paraId="6FAB15B7" w14:textId="77777777" w:rsidR="00F33C03" w:rsidRDefault="00F33C03"/>
        </w:tc>
        <w:tc>
          <w:tcPr>
            <w:tcW w:w="1798" w:type="dxa"/>
            <w:tcBorders>
              <w:top w:val="single" w:sz="8" w:space="0" w:color="000000"/>
              <w:left w:val="single" w:sz="8" w:space="0" w:color="000000"/>
              <w:bottom w:val="single" w:sz="8" w:space="0" w:color="000000"/>
              <w:right w:val="single" w:sz="8" w:space="0" w:color="000000"/>
            </w:tcBorders>
            <w:vAlign w:val="center"/>
          </w:tcPr>
          <w:p w14:paraId="116D13AE" w14:textId="77777777" w:rsidR="00F33C03" w:rsidRDefault="00647E24">
            <w:r>
              <w:rPr>
                <w:sz w:val="28"/>
              </w:rPr>
              <w:t>Ekonomika</w:t>
            </w:r>
          </w:p>
        </w:tc>
        <w:tc>
          <w:tcPr>
            <w:tcW w:w="2208" w:type="dxa"/>
            <w:tcBorders>
              <w:top w:val="single" w:sz="8" w:space="0" w:color="000000"/>
              <w:left w:val="single" w:sz="8" w:space="0" w:color="000000"/>
              <w:bottom w:val="single" w:sz="8" w:space="0" w:color="000000"/>
              <w:right w:val="single" w:sz="8" w:space="0" w:color="000000"/>
            </w:tcBorders>
            <w:vAlign w:val="center"/>
          </w:tcPr>
          <w:p w14:paraId="25FB4B2C" w14:textId="07E468F6" w:rsidR="00D756E5" w:rsidRPr="00D756E5" w:rsidRDefault="00D756E5" w:rsidP="00D756E5">
            <w:pPr>
              <w:rPr>
                <w:sz w:val="28"/>
              </w:rPr>
            </w:pPr>
            <w:r>
              <w:rPr>
                <w:sz w:val="28"/>
              </w:rPr>
              <w:t>Chytrá</w:t>
            </w:r>
          </w:p>
          <w:p w14:paraId="347FA117" w14:textId="77777777" w:rsidR="00D756E5" w:rsidRPr="00D756E5" w:rsidRDefault="00D756E5" w:rsidP="00D756E5">
            <w:pPr>
              <w:rPr>
                <w:sz w:val="28"/>
              </w:rPr>
            </w:pPr>
            <w:r w:rsidRPr="00D756E5">
              <w:rPr>
                <w:sz w:val="28"/>
              </w:rPr>
              <w:t>výrobní</w:t>
            </w:r>
          </w:p>
          <w:p w14:paraId="1F53BB7C" w14:textId="77777777" w:rsidR="00D756E5" w:rsidRPr="00D756E5" w:rsidRDefault="00D756E5" w:rsidP="00D756E5">
            <w:pPr>
              <w:rPr>
                <w:sz w:val="28"/>
              </w:rPr>
            </w:pPr>
            <w:r w:rsidRPr="00D756E5">
              <w:rPr>
                <w:sz w:val="28"/>
              </w:rPr>
              <w:t>servisní platforma</w:t>
            </w:r>
          </w:p>
          <w:p w14:paraId="6A4C4C80" w14:textId="77777777" w:rsidR="00D756E5" w:rsidRPr="00D756E5" w:rsidRDefault="00D756E5" w:rsidP="00D756E5">
            <w:pPr>
              <w:rPr>
                <w:sz w:val="28"/>
              </w:rPr>
            </w:pPr>
          </w:p>
          <w:p w14:paraId="515BB221" w14:textId="1931C911" w:rsidR="00F33C03" w:rsidRDefault="00F33C03"/>
        </w:tc>
        <w:tc>
          <w:tcPr>
            <w:tcW w:w="13156" w:type="dxa"/>
            <w:tcBorders>
              <w:top w:val="single" w:sz="8" w:space="0" w:color="000000"/>
              <w:left w:val="single" w:sz="8" w:space="0" w:color="000000"/>
              <w:bottom w:val="single" w:sz="8" w:space="0" w:color="000000"/>
              <w:right w:val="single" w:sz="8" w:space="0" w:color="000000"/>
            </w:tcBorders>
            <w:vAlign w:val="center"/>
          </w:tcPr>
          <w:p w14:paraId="45CD814B" w14:textId="77777777" w:rsidR="00F33C03" w:rsidRDefault="00647E24">
            <w:pPr>
              <w:numPr>
                <w:ilvl w:val="0"/>
                <w:numId w:val="3"/>
              </w:numPr>
              <w:spacing w:after="9"/>
              <w:ind w:right="1"/>
              <w:jc w:val="both"/>
            </w:pPr>
            <w:r>
              <w:rPr>
                <w:sz w:val="28"/>
              </w:rPr>
              <w:t>V roce 2024 městská správa Taoyuan založila platformu Smart Manufacturing Service Platform a prosazovala politiku zdravotních kontrol podniků. Zahrnuje online sebehodnocení, návštěvy továren, zprávy o hodnocení chytrých továren a doporučení pro digitální transformaci.</w:t>
            </w:r>
          </w:p>
          <w:p w14:paraId="77E5E3E6" w14:textId="77777777" w:rsidR="00F33C03" w:rsidRDefault="00647E24">
            <w:pPr>
              <w:numPr>
                <w:ilvl w:val="0"/>
                <w:numId w:val="3"/>
              </w:numPr>
              <w:ind w:right="1"/>
              <w:jc w:val="both"/>
            </w:pPr>
            <w:r>
              <w:rPr>
                <w:sz w:val="28"/>
              </w:rPr>
              <w:t>V roce 2025 jsme také založili Smart Taoyuan Academy, abychom neustále pomáhali malým a středním podnikům hledat vhodné talenty, urychlovat transformaci podnikání a udržovat konkurenceschopnost v odvětví. Akademie nejen podporuje transformaci podniků, ale také nabízí kurzy rozvoje talentů. Prostřednictvím těchto programů rozvíjí odborníky v oblasti AI, chytré výroby a příbuzných oborů, čímž řeší problémy nedostatku pracovní síly, kterým podniky čelí.</w:t>
            </w:r>
          </w:p>
        </w:tc>
        <w:tc>
          <w:tcPr>
            <w:tcW w:w="2964" w:type="dxa"/>
            <w:tcBorders>
              <w:top w:val="single" w:sz="8" w:space="0" w:color="000000"/>
              <w:left w:val="single" w:sz="8" w:space="0" w:color="000000"/>
              <w:bottom w:val="single" w:sz="8" w:space="0" w:color="000000"/>
              <w:right w:val="single" w:sz="8" w:space="0" w:color="000000"/>
            </w:tcBorders>
          </w:tcPr>
          <w:p w14:paraId="4964DD99" w14:textId="77777777" w:rsidR="00F33C03" w:rsidRDefault="00F33C03"/>
        </w:tc>
      </w:tr>
    </w:tbl>
    <w:p w14:paraId="422043F9" w14:textId="77777777" w:rsidR="00F33C03" w:rsidRDefault="00F33C03">
      <w:pPr>
        <w:spacing w:after="0"/>
        <w:ind w:left="-1440" w:right="22368"/>
      </w:pPr>
    </w:p>
    <w:tbl>
      <w:tblPr>
        <w:tblStyle w:val="TableGrid"/>
        <w:tblW w:w="21482" w:type="dxa"/>
        <w:tblInd w:w="-286" w:type="dxa"/>
        <w:tblCellMar>
          <w:left w:w="46" w:type="dxa"/>
          <w:bottom w:w="342" w:type="dxa"/>
          <w:right w:w="40" w:type="dxa"/>
        </w:tblCellMar>
        <w:tblLook w:val="04A0" w:firstRow="1" w:lastRow="0" w:firstColumn="1" w:lastColumn="0" w:noHBand="0" w:noVBand="1"/>
      </w:tblPr>
      <w:tblGrid>
        <w:gridCol w:w="1356"/>
        <w:gridCol w:w="1798"/>
        <w:gridCol w:w="2208"/>
        <w:gridCol w:w="13156"/>
        <w:gridCol w:w="2964"/>
      </w:tblGrid>
      <w:tr w:rsidR="00F33C03" w14:paraId="2C9B88B1" w14:textId="77777777">
        <w:trPr>
          <w:trHeight w:val="4114"/>
        </w:trPr>
        <w:tc>
          <w:tcPr>
            <w:tcW w:w="1356" w:type="dxa"/>
            <w:vMerge w:val="restart"/>
            <w:tcBorders>
              <w:top w:val="single" w:sz="8" w:space="0" w:color="000000"/>
              <w:left w:val="single" w:sz="8" w:space="0" w:color="000000"/>
              <w:bottom w:val="single" w:sz="8" w:space="0" w:color="000000"/>
              <w:right w:val="single" w:sz="8" w:space="0" w:color="000000"/>
            </w:tcBorders>
          </w:tcPr>
          <w:p w14:paraId="6ADC8ABC" w14:textId="77777777" w:rsidR="00F33C03" w:rsidRDefault="00F33C03"/>
        </w:tc>
        <w:tc>
          <w:tcPr>
            <w:tcW w:w="1798" w:type="dxa"/>
            <w:tcBorders>
              <w:top w:val="single" w:sz="8" w:space="0" w:color="000000"/>
              <w:left w:val="single" w:sz="8" w:space="0" w:color="000000"/>
              <w:bottom w:val="single" w:sz="8" w:space="0" w:color="000000"/>
              <w:right w:val="single" w:sz="8" w:space="0" w:color="000000"/>
            </w:tcBorders>
            <w:vAlign w:val="center"/>
          </w:tcPr>
          <w:p w14:paraId="29C341FD" w14:textId="77777777" w:rsidR="00F33C03" w:rsidRDefault="00647E24">
            <w:r>
              <w:rPr>
                <w:sz w:val="28"/>
              </w:rPr>
              <w:t>Sociální péče</w:t>
            </w:r>
          </w:p>
        </w:tc>
        <w:tc>
          <w:tcPr>
            <w:tcW w:w="2208" w:type="dxa"/>
            <w:tcBorders>
              <w:top w:val="single" w:sz="8" w:space="0" w:color="000000"/>
              <w:left w:val="single" w:sz="8" w:space="0" w:color="000000"/>
              <w:bottom w:val="single" w:sz="8" w:space="0" w:color="000000"/>
              <w:right w:val="single" w:sz="8" w:space="0" w:color="000000"/>
            </w:tcBorders>
            <w:vAlign w:val="center"/>
          </w:tcPr>
          <w:p w14:paraId="42C74BC5" w14:textId="77777777" w:rsidR="00F33C03" w:rsidRDefault="00647E24">
            <w:pPr>
              <w:jc w:val="both"/>
            </w:pPr>
            <w:r>
              <w:rPr>
                <w:sz w:val="28"/>
              </w:rPr>
              <w:t>Model pro mladé 3P</w:t>
            </w:r>
          </w:p>
        </w:tc>
        <w:tc>
          <w:tcPr>
            <w:tcW w:w="13156" w:type="dxa"/>
            <w:tcBorders>
              <w:top w:val="single" w:sz="8" w:space="0" w:color="000000"/>
              <w:left w:val="single" w:sz="8" w:space="0" w:color="000000"/>
              <w:bottom w:val="single" w:sz="8" w:space="0" w:color="000000"/>
              <w:right w:val="single" w:sz="8" w:space="0" w:color="000000"/>
            </w:tcBorders>
            <w:vAlign w:val="center"/>
          </w:tcPr>
          <w:p w14:paraId="72B29BA1" w14:textId="77777777" w:rsidR="00F33C03" w:rsidRDefault="00647E24">
            <w:pPr>
              <w:jc w:val="both"/>
            </w:pPr>
            <w:r>
              <w:rPr>
                <w:sz w:val="28"/>
              </w:rPr>
              <w:t>"Model Juvenile 3P" je program vyvinutý městem Taoyuan a znamená Prediction, Prevention, and</w:t>
            </w:r>
          </w:p>
          <w:p w14:paraId="4909723D" w14:textId="77777777" w:rsidR="00F33C03" w:rsidRDefault="00647E24">
            <w:pPr>
              <w:spacing w:after="8"/>
            </w:pPr>
            <w:r>
              <w:rPr>
                <w:sz w:val="28"/>
              </w:rPr>
              <w:t>Ochrana k řešení problémů s mladistvými.</w:t>
            </w:r>
          </w:p>
          <w:p w14:paraId="0A7066A7" w14:textId="77777777" w:rsidR="00F33C03" w:rsidRDefault="00647E24">
            <w:pPr>
              <w:spacing w:after="19" w:line="252" w:lineRule="auto"/>
              <w:jc w:val="both"/>
            </w:pPr>
            <w:r>
              <w:rPr>
                <w:sz w:val="28"/>
              </w:rPr>
              <w:t>Pomocí technologií a dat analyzuje 44 rizikových ukazatelů, aby přesně identifikovala vysoce rizikové mladé a poskytla včasné poradenství a podporu, čímž pomáhá dospívajícím vyhnout se deviantnímu chování.</w:t>
            </w:r>
          </w:p>
          <w:p w14:paraId="151EDC01" w14:textId="77777777" w:rsidR="00F33C03" w:rsidRDefault="00647E24">
            <w:pPr>
              <w:spacing w:after="18" w:line="252" w:lineRule="auto"/>
              <w:jc w:val="both"/>
            </w:pPr>
            <w:r>
              <w:rPr>
                <w:sz w:val="28"/>
              </w:rPr>
              <w:t>Program také podporuje zástupce mládeže, který umožňuje mladým, kteří podstoupili poradenství, přímo se podílet na tvorbě politik, čímž zajišťuje, že politiky lépe chrání práva mladistvých.</w:t>
            </w:r>
          </w:p>
          <w:p w14:paraId="5BEAC2D7" w14:textId="77777777" w:rsidR="00F33C03" w:rsidRDefault="00647E24">
            <w:pPr>
              <w:jc w:val="both"/>
            </w:pPr>
            <w:r>
              <w:rPr>
                <w:sz w:val="28"/>
              </w:rPr>
              <w:t>Navíc program ve spolupráci s Ministerstvem práce plánuje vytvářet pracovní příležitosti a příležitosti k rozvoji vzdělávání. Aktivně také využívá sociální zdroje k realizaci programu podpory mládeže, který povzbuzuje každé dítě k stanovování osobních cílů a nabízí finanční pobídky po dosažení každého milníku.</w:t>
            </w:r>
          </w:p>
        </w:tc>
        <w:tc>
          <w:tcPr>
            <w:tcW w:w="2964" w:type="dxa"/>
            <w:tcBorders>
              <w:top w:val="single" w:sz="8" w:space="0" w:color="000000"/>
              <w:left w:val="single" w:sz="8" w:space="0" w:color="000000"/>
              <w:bottom w:val="single" w:sz="8" w:space="0" w:color="000000"/>
              <w:right w:val="single" w:sz="8" w:space="0" w:color="000000"/>
            </w:tcBorders>
            <w:vAlign w:val="center"/>
          </w:tcPr>
          <w:p w14:paraId="58419FF3" w14:textId="77777777" w:rsidR="00F33C03" w:rsidRDefault="00647E24">
            <w:r>
              <w:rPr>
                <w:color w:val="343434"/>
                <w:sz w:val="28"/>
              </w:rPr>
              <w:t>2025 Soul Smart City</w:t>
            </w:r>
          </w:p>
          <w:p w14:paraId="68A2120E" w14:textId="77777777" w:rsidR="00F33C03" w:rsidRDefault="00647E24">
            <w:r>
              <w:rPr>
                <w:color w:val="343434"/>
                <w:sz w:val="28"/>
              </w:rPr>
              <w:t>Stříbrná cena</w:t>
            </w:r>
          </w:p>
        </w:tc>
      </w:tr>
      <w:tr w:rsidR="00F33C03" w14:paraId="1B5DA3B8" w14:textId="77777777">
        <w:trPr>
          <w:trHeight w:val="3548"/>
        </w:trPr>
        <w:tc>
          <w:tcPr>
            <w:tcW w:w="0" w:type="auto"/>
            <w:vMerge/>
            <w:tcBorders>
              <w:top w:val="nil"/>
              <w:left w:val="single" w:sz="8" w:space="0" w:color="000000"/>
              <w:bottom w:val="nil"/>
              <w:right w:val="single" w:sz="8" w:space="0" w:color="000000"/>
            </w:tcBorders>
          </w:tcPr>
          <w:p w14:paraId="65D7AD77" w14:textId="77777777" w:rsidR="00F33C03" w:rsidRDefault="00F33C03"/>
        </w:tc>
        <w:tc>
          <w:tcPr>
            <w:tcW w:w="1798" w:type="dxa"/>
            <w:tcBorders>
              <w:top w:val="single" w:sz="8" w:space="0" w:color="000000"/>
              <w:left w:val="single" w:sz="8" w:space="0" w:color="000000"/>
              <w:bottom w:val="single" w:sz="8" w:space="0" w:color="000000"/>
              <w:right w:val="single" w:sz="8" w:space="0" w:color="000000"/>
            </w:tcBorders>
            <w:vAlign w:val="center"/>
          </w:tcPr>
          <w:p w14:paraId="1E268CCB" w14:textId="77777777" w:rsidR="00F33C03" w:rsidRDefault="00647E24">
            <w:r>
              <w:rPr>
                <w:sz w:val="28"/>
              </w:rPr>
              <w:t>Sociální péče</w:t>
            </w:r>
          </w:p>
        </w:tc>
        <w:tc>
          <w:tcPr>
            <w:tcW w:w="2208" w:type="dxa"/>
            <w:tcBorders>
              <w:top w:val="single" w:sz="8" w:space="0" w:color="000000"/>
              <w:left w:val="single" w:sz="8" w:space="0" w:color="000000"/>
              <w:bottom w:val="single" w:sz="8" w:space="0" w:color="000000"/>
              <w:right w:val="single" w:sz="8" w:space="0" w:color="000000"/>
            </w:tcBorders>
            <w:vAlign w:val="center"/>
          </w:tcPr>
          <w:p w14:paraId="47F40410" w14:textId="77777777" w:rsidR="00F33C03" w:rsidRDefault="00647E24">
            <w:r>
              <w:rPr>
                <w:sz w:val="28"/>
              </w:rPr>
              <w:t>Smart Building</w:t>
            </w:r>
          </w:p>
        </w:tc>
        <w:tc>
          <w:tcPr>
            <w:tcW w:w="13156" w:type="dxa"/>
            <w:tcBorders>
              <w:top w:val="single" w:sz="8" w:space="0" w:color="000000"/>
              <w:left w:val="single" w:sz="8" w:space="0" w:color="000000"/>
              <w:bottom w:val="single" w:sz="8" w:space="0" w:color="000000"/>
              <w:right w:val="single" w:sz="8" w:space="0" w:color="000000"/>
            </w:tcBorders>
            <w:vAlign w:val="center"/>
          </w:tcPr>
          <w:p w14:paraId="774CBC1E" w14:textId="77777777" w:rsidR="00F33C03" w:rsidRDefault="00647E24">
            <w:pPr>
              <w:jc w:val="both"/>
            </w:pPr>
            <w:r>
              <w:rPr>
                <w:sz w:val="28"/>
              </w:rPr>
              <w:t>Veřejné bydlení ve městě Taoyuan využívá pokročilý IoT rámec, který integruje modelování budov (BIM) s chytrým systémem automatizace budov (BA). Tato základní struktura podporuje platformu pro správu údržby a chytré datové operace, která poskytuje inteligentní, integrované služby a zároveň výrazně zvyšuje bezpečnost domácností. Tento komplexní systém umělé inteligence věcí (AIoT) zahrnuje a analyzuje širokou škálu provozních dat, včetně spotřeby energie a vody, výkonu zařízení a hlášení poruch. Platforma dále integruje chytré měřiče pro vodu, elektřinu a plyn, nabízí funkce jako varování zařízení, automatická upozornění na kapacitu smluv a integraci sledování v reálném čase, aby mohly bytové úřady okamžitě monitorovat, identifikovat a řešit anomálie.</w:t>
            </w:r>
          </w:p>
        </w:tc>
        <w:tc>
          <w:tcPr>
            <w:tcW w:w="2964" w:type="dxa"/>
            <w:tcBorders>
              <w:top w:val="single" w:sz="8" w:space="0" w:color="000000"/>
              <w:left w:val="single" w:sz="8" w:space="0" w:color="000000"/>
              <w:bottom w:val="single" w:sz="8" w:space="0" w:color="000000"/>
              <w:right w:val="single" w:sz="8" w:space="0" w:color="000000"/>
            </w:tcBorders>
          </w:tcPr>
          <w:p w14:paraId="55D9B0BA" w14:textId="77777777" w:rsidR="00F33C03" w:rsidRDefault="00F33C03"/>
        </w:tc>
      </w:tr>
      <w:tr w:rsidR="00F33C03" w14:paraId="5435F1BB" w14:textId="77777777">
        <w:trPr>
          <w:trHeight w:val="4100"/>
        </w:trPr>
        <w:tc>
          <w:tcPr>
            <w:tcW w:w="0" w:type="auto"/>
            <w:vMerge/>
            <w:tcBorders>
              <w:top w:val="nil"/>
              <w:left w:val="single" w:sz="8" w:space="0" w:color="000000"/>
              <w:bottom w:val="single" w:sz="8" w:space="0" w:color="000000"/>
              <w:right w:val="single" w:sz="8" w:space="0" w:color="000000"/>
            </w:tcBorders>
          </w:tcPr>
          <w:p w14:paraId="725E7CA4" w14:textId="77777777" w:rsidR="00F33C03" w:rsidRDefault="00F33C03"/>
        </w:tc>
        <w:tc>
          <w:tcPr>
            <w:tcW w:w="1798" w:type="dxa"/>
            <w:tcBorders>
              <w:top w:val="single" w:sz="8" w:space="0" w:color="000000"/>
              <w:left w:val="single" w:sz="8" w:space="0" w:color="000000"/>
              <w:bottom w:val="single" w:sz="8" w:space="0" w:color="000000"/>
              <w:right w:val="single" w:sz="8" w:space="0" w:color="000000"/>
            </w:tcBorders>
            <w:vAlign w:val="center"/>
          </w:tcPr>
          <w:p w14:paraId="2DE0A5A0" w14:textId="77777777" w:rsidR="00F33C03" w:rsidRDefault="00647E24">
            <w:r>
              <w:rPr>
                <w:sz w:val="28"/>
              </w:rPr>
              <w:t>Sociální péče</w:t>
            </w:r>
          </w:p>
        </w:tc>
        <w:tc>
          <w:tcPr>
            <w:tcW w:w="2208" w:type="dxa"/>
            <w:tcBorders>
              <w:top w:val="single" w:sz="8" w:space="0" w:color="000000"/>
              <w:left w:val="single" w:sz="8" w:space="0" w:color="000000"/>
              <w:bottom w:val="single" w:sz="8" w:space="0" w:color="000000"/>
              <w:right w:val="single" w:sz="8" w:space="0" w:color="000000"/>
            </w:tcBorders>
            <w:vAlign w:val="bottom"/>
          </w:tcPr>
          <w:p w14:paraId="1E3EC351" w14:textId="77777777" w:rsidR="00F33C03" w:rsidRDefault="00647E24">
            <w:r>
              <w:rPr>
                <w:sz w:val="28"/>
              </w:rPr>
              <w:t>Sociální bydlení č. 3 Zhong-Lu</w:t>
            </w:r>
          </w:p>
        </w:tc>
        <w:tc>
          <w:tcPr>
            <w:tcW w:w="13156" w:type="dxa"/>
            <w:tcBorders>
              <w:top w:val="single" w:sz="8" w:space="0" w:color="000000"/>
              <w:left w:val="single" w:sz="8" w:space="0" w:color="000000"/>
              <w:bottom w:val="single" w:sz="8" w:space="0" w:color="000000"/>
              <w:right w:val="single" w:sz="8" w:space="0" w:color="000000"/>
            </w:tcBorders>
            <w:vAlign w:val="center"/>
          </w:tcPr>
          <w:p w14:paraId="68D7CC3F" w14:textId="77777777" w:rsidR="00F33C03" w:rsidRDefault="00647E24">
            <w:pPr>
              <w:spacing w:after="6" w:line="261" w:lineRule="auto"/>
              <w:jc w:val="both"/>
            </w:pPr>
            <w:r>
              <w:rPr>
                <w:sz w:val="28"/>
              </w:rPr>
              <w:t>Sociální bydlení č. 3 Zhong-Lu v Taoyuanu zahrnovalo chytré a zelené budovy. Díky technologiím úspory energie a snižování emisí uhlíku spolu s inteligentními systémy řízení tento projekt snižuje emise uhlíku přibližně o 185 metrických tun ročně. Díky využití chytré platformy BIM a inteligentního monitorovacího systému dosahuje míry hlášení anomálií zařízení v reálném čase přesahující 99 %.</w:t>
            </w:r>
          </w:p>
          <w:p w14:paraId="39C37437" w14:textId="77777777" w:rsidR="00F33C03" w:rsidRDefault="00647E24">
            <w:pPr>
              <w:spacing w:after="9"/>
              <w:jc w:val="both"/>
            </w:pPr>
            <w:r>
              <w:rPr>
                <w:sz w:val="28"/>
              </w:rPr>
              <w:t>Bydlení také využívá principy budování komunity, zahrnuje chráněnou dílnu, podpůrné centrum pro rodiny se zdravotním postižením, mládežnické centrum a poštu, čímž vytváří víceveřejný prostor, který spojuje obyvatele s komunitou.</w:t>
            </w:r>
          </w:p>
          <w:p w14:paraId="1A4E27F7" w14:textId="77777777" w:rsidR="00F33C03" w:rsidRDefault="00647E24">
            <w:pPr>
              <w:jc w:val="both"/>
            </w:pPr>
            <w:r>
              <w:rPr>
                <w:sz w:val="28"/>
              </w:rPr>
              <w:t>V roce 2025 získala společnost č. 3 Zhong-Lu Social Housing zlatou cenu na World Prix d'Excellence Awards, čímž se stala jediným projektem sociálního bydlení na Tchaj-wanu, který toto mezinárodní uznání získal.</w:t>
            </w:r>
          </w:p>
        </w:tc>
        <w:tc>
          <w:tcPr>
            <w:tcW w:w="2964" w:type="dxa"/>
            <w:tcBorders>
              <w:top w:val="single" w:sz="8" w:space="0" w:color="000000"/>
              <w:left w:val="single" w:sz="8" w:space="0" w:color="000000"/>
              <w:bottom w:val="single" w:sz="8" w:space="0" w:color="000000"/>
              <w:right w:val="single" w:sz="8" w:space="0" w:color="000000"/>
            </w:tcBorders>
            <w:vAlign w:val="center"/>
          </w:tcPr>
          <w:p w14:paraId="435FFB3B" w14:textId="77777777" w:rsidR="00F33C03" w:rsidRDefault="00647E24">
            <w:r>
              <w:rPr>
                <w:sz w:val="28"/>
              </w:rPr>
              <w:t>Světové ceny Prix d'Excellence 2025 Světový zlatý vítěz</w:t>
            </w:r>
          </w:p>
        </w:tc>
      </w:tr>
    </w:tbl>
    <w:p w14:paraId="348770F8" w14:textId="77777777" w:rsidR="00F33C03" w:rsidRDefault="00F33C03">
      <w:pPr>
        <w:spacing w:after="0"/>
        <w:ind w:left="-1440" w:right="22368"/>
      </w:pPr>
    </w:p>
    <w:tbl>
      <w:tblPr>
        <w:tblStyle w:val="TableGrid"/>
        <w:tblW w:w="21477" w:type="dxa"/>
        <w:tblInd w:w="-283" w:type="dxa"/>
        <w:tblCellMar>
          <w:top w:w="53" w:type="dxa"/>
          <w:right w:w="34" w:type="dxa"/>
        </w:tblCellMar>
        <w:tblLook w:val="04A0" w:firstRow="1" w:lastRow="0" w:firstColumn="1" w:lastColumn="0" w:noHBand="0" w:noVBand="1"/>
      </w:tblPr>
      <w:tblGrid>
        <w:gridCol w:w="1354"/>
        <w:gridCol w:w="1798"/>
        <w:gridCol w:w="2208"/>
        <w:gridCol w:w="13155"/>
        <w:gridCol w:w="2962"/>
      </w:tblGrid>
      <w:tr w:rsidR="00F33C03" w14:paraId="37CE1113" w14:textId="77777777">
        <w:trPr>
          <w:trHeight w:val="4421"/>
        </w:trPr>
        <w:tc>
          <w:tcPr>
            <w:tcW w:w="1354" w:type="dxa"/>
            <w:vMerge w:val="restart"/>
            <w:tcBorders>
              <w:top w:val="single" w:sz="8" w:space="0" w:color="000000"/>
              <w:left w:val="single" w:sz="8" w:space="0" w:color="000000"/>
              <w:bottom w:val="single" w:sz="8" w:space="0" w:color="000000"/>
              <w:right w:val="single" w:sz="8" w:space="0" w:color="000000"/>
            </w:tcBorders>
          </w:tcPr>
          <w:p w14:paraId="4B05B25C" w14:textId="77777777" w:rsidR="00F33C03" w:rsidRDefault="00F33C03"/>
        </w:tc>
        <w:tc>
          <w:tcPr>
            <w:tcW w:w="1798" w:type="dxa"/>
            <w:tcBorders>
              <w:top w:val="single" w:sz="8" w:space="0" w:color="000000"/>
              <w:left w:val="single" w:sz="8" w:space="0" w:color="000000"/>
              <w:bottom w:val="single" w:sz="8" w:space="0" w:color="000000"/>
              <w:right w:val="single" w:sz="8" w:space="0" w:color="000000"/>
            </w:tcBorders>
            <w:vAlign w:val="center"/>
          </w:tcPr>
          <w:p w14:paraId="34984C37" w14:textId="77777777" w:rsidR="00F33C03" w:rsidRDefault="00647E24">
            <w:pPr>
              <w:ind w:left="46"/>
            </w:pPr>
            <w:r>
              <w:rPr>
                <w:sz w:val="28"/>
              </w:rPr>
              <w:t>Zemědělství</w:t>
            </w:r>
          </w:p>
        </w:tc>
        <w:tc>
          <w:tcPr>
            <w:tcW w:w="2208" w:type="dxa"/>
            <w:tcBorders>
              <w:top w:val="single" w:sz="8" w:space="0" w:color="000000"/>
              <w:left w:val="single" w:sz="8" w:space="0" w:color="000000"/>
              <w:bottom w:val="single" w:sz="8" w:space="0" w:color="000000"/>
              <w:right w:val="single" w:sz="8" w:space="0" w:color="000000"/>
            </w:tcBorders>
            <w:vAlign w:val="center"/>
          </w:tcPr>
          <w:p w14:paraId="51B096D2" w14:textId="77777777" w:rsidR="00F33C03" w:rsidRDefault="00647E24">
            <w:pPr>
              <w:ind w:left="46"/>
            </w:pPr>
            <w:r>
              <w:rPr>
                <w:sz w:val="28"/>
              </w:rPr>
              <w:t>Chytré zemědělství</w:t>
            </w:r>
          </w:p>
        </w:tc>
        <w:tc>
          <w:tcPr>
            <w:tcW w:w="13156" w:type="dxa"/>
            <w:tcBorders>
              <w:top w:val="single" w:sz="8" w:space="0" w:color="000000"/>
              <w:left w:val="single" w:sz="8" w:space="0" w:color="000000"/>
              <w:bottom w:val="single" w:sz="8" w:space="0" w:color="000000"/>
              <w:right w:val="single" w:sz="8" w:space="0" w:color="000000"/>
            </w:tcBorders>
            <w:vAlign w:val="center"/>
          </w:tcPr>
          <w:p w14:paraId="7E96E302" w14:textId="77777777" w:rsidR="00F33C03" w:rsidRDefault="00647E24">
            <w:pPr>
              <w:spacing w:after="6" w:line="261" w:lineRule="auto"/>
              <w:ind w:left="46" w:right="6"/>
              <w:jc w:val="both"/>
            </w:pPr>
            <w:r>
              <w:rPr>
                <w:sz w:val="28"/>
              </w:rPr>
              <w:t>Město Taoyuan aktivně podporuje chytré zemědělství, využívá technologie jako drony a inteligentní environmentální řízení ke zvýšení efektivity plodin, zlepšení kvality a zajištění bezpečnosti potravin. V regionech s největším množstvím organické zeleniny úspěšně zlepšila zavedení chytrého zavlažování, systémů environmentální kontroly a malých meteorologických stanic úspěšně zlepšení zemědělské efektivity a výnosu plodin.</w:t>
            </w:r>
          </w:p>
          <w:p w14:paraId="7D8FB311" w14:textId="77777777" w:rsidR="00F33C03" w:rsidRDefault="00647E24">
            <w:pPr>
              <w:ind w:left="46" w:right="6"/>
              <w:jc w:val="both"/>
            </w:pPr>
            <w:r>
              <w:rPr>
                <w:sz w:val="28"/>
              </w:rPr>
              <w:t>Pokud jde o ochranu půdy a vody, nedávno jsme prohloubili naše strategie, které zahrnují chytrou inspekci a monitorování svahů, plánování environmentální udržitelnosti, kreativní kampaně na zvýšení povědomí veřejnosti a robustní spolupráci mezi veřejným a soukromým sektorem. Plným využitím platformy Taoyuan Soil and Water Conservation Application Platform a technologie UAV město efektivně monitoruje aktivity v oblasti rozvoje svahů, posiluje vymáhání práva proti porušením a buduje vysoce pohotový a efektivní systém řízení.</w:t>
            </w:r>
          </w:p>
        </w:tc>
        <w:tc>
          <w:tcPr>
            <w:tcW w:w="2962" w:type="dxa"/>
            <w:tcBorders>
              <w:top w:val="single" w:sz="8" w:space="0" w:color="000000"/>
              <w:left w:val="single" w:sz="8" w:space="0" w:color="000000"/>
              <w:bottom w:val="single" w:sz="8" w:space="0" w:color="000000"/>
              <w:right w:val="single" w:sz="8" w:space="0" w:color="000000"/>
            </w:tcBorders>
            <w:vAlign w:val="center"/>
          </w:tcPr>
          <w:p w14:paraId="0CD59062" w14:textId="77777777" w:rsidR="00F33C03" w:rsidRDefault="00647E24">
            <w:pPr>
              <w:ind w:left="46"/>
            </w:pPr>
            <w:r>
              <w:rPr>
                <w:sz w:val="28"/>
              </w:rPr>
              <w:t>První místo v</w:t>
            </w:r>
          </w:p>
          <w:p w14:paraId="7810C728" w14:textId="77777777" w:rsidR="00F33C03" w:rsidRDefault="00647E24">
            <w:pPr>
              <w:spacing w:line="252" w:lineRule="auto"/>
              <w:ind w:left="46"/>
            </w:pPr>
            <w:r>
              <w:rPr>
                <w:sz w:val="28"/>
              </w:rPr>
              <w:t>Kategorie obce pro zlatou pěstbu svahovité půdy 2025</w:t>
            </w:r>
          </w:p>
          <w:p w14:paraId="36B53547" w14:textId="77777777" w:rsidR="00F33C03" w:rsidRDefault="00647E24">
            <w:pPr>
              <w:ind w:left="46"/>
            </w:pPr>
            <w:r>
              <w:rPr>
                <w:sz w:val="28"/>
              </w:rPr>
              <w:t>Ocenění organizované</w:t>
            </w:r>
          </w:p>
          <w:p w14:paraId="60C9C66C" w14:textId="77777777" w:rsidR="00F33C03" w:rsidRDefault="00647E24">
            <w:pPr>
              <w:ind w:left="46"/>
            </w:pPr>
            <w:r>
              <w:rPr>
                <w:sz w:val="28"/>
              </w:rPr>
              <w:t>Ministerstvo zemědělství</w:t>
            </w:r>
          </w:p>
        </w:tc>
      </w:tr>
      <w:tr w:rsidR="00F33C03" w14:paraId="455007FD" w14:textId="77777777">
        <w:trPr>
          <w:trHeight w:val="7227"/>
        </w:trPr>
        <w:tc>
          <w:tcPr>
            <w:tcW w:w="0" w:type="auto"/>
            <w:vMerge/>
            <w:tcBorders>
              <w:top w:val="nil"/>
              <w:left w:val="single" w:sz="8" w:space="0" w:color="000000"/>
              <w:bottom w:val="single" w:sz="8" w:space="0" w:color="000000"/>
              <w:right w:val="single" w:sz="8" w:space="0" w:color="000000"/>
            </w:tcBorders>
          </w:tcPr>
          <w:p w14:paraId="7771D8B2" w14:textId="77777777" w:rsidR="00F33C03" w:rsidRDefault="00F33C03"/>
        </w:tc>
        <w:tc>
          <w:tcPr>
            <w:tcW w:w="1798" w:type="dxa"/>
            <w:tcBorders>
              <w:top w:val="single" w:sz="8" w:space="0" w:color="000000"/>
              <w:left w:val="single" w:sz="8" w:space="0" w:color="000000"/>
              <w:bottom w:val="single" w:sz="8" w:space="0" w:color="000000"/>
              <w:right w:val="single" w:sz="8" w:space="0" w:color="000000"/>
            </w:tcBorders>
            <w:vAlign w:val="center"/>
          </w:tcPr>
          <w:p w14:paraId="659319DA" w14:textId="77777777" w:rsidR="00F33C03" w:rsidRDefault="00647E24">
            <w:pPr>
              <w:ind w:left="46"/>
            </w:pPr>
            <w:r>
              <w:rPr>
                <w:sz w:val="28"/>
              </w:rPr>
              <w:t>Zemědělství</w:t>
            </w:r>
          </w:p>
        </w:tc>
        <w:tc>
          <w:tcPr>
            <w:tcW w:w="2208" w:type="dxa"/>
            <w:tcBorders>
              <w:top w:val="single" w:sz="8" w:space="0" w:color="000000"/>
              <w:left w:val="single" w:sz="8" w:space="0" w:color="000000"/>
              <w:bottom w:val="single" w:sz="8" w:space="0" w:color="000000"/>
              <w:right w:val="single" w:sz="8" w:space="0" w:color="000000"/>
            </w:tcBorders>
            <w:vAlign w:val="center"/>
          </w:tcPr>
          <w:p w14:paraId="57539D55" w14:textId="77777777" w:rsidR="00F33C03" w:rsidRDefault="00647E24">
            <w:pPr>
              <w:ind w:left="46"/>
              <w:jc w:val="both"/>
            </w:pPr>
            <w:r>
              <w:rPr>
                <w:sz w:val="28"/>
              </w:rPr>
              <w:t xml:space="preserve">Smart Agricultural </w:t>
            </w:r>
          </w:p>
        </w:tc>
        <w:tc>
          <w:tcPr>
            <w:tcW w:w="13156" w:type="dxa"/>
            <w:tcBorders>
              <w:top w:val="single" w:sz="8" w:space="0" w:color="000000"/>
              <w:left w:val="single" w:sz="8" w:space="0" w:color="000000"/>
              <w:bottom w:val="single" w:sz="8" w:space="0" w:color="000000"/>
              <w:right w:val="single" w:sz="8" w:space="0" w:color="000000"/>
            </w:tcBorders>
            <w:vAlign w:val="center"/>
          </w:tcPr>
          <w:p w14:paraId="3DC79740" w14:textId="77777777" w:rsidR="00F33C03" w:rsidRDefault="00647E24">
            <w:pPr>
              <w:spacing w:after="348" w:line="261" w:lineRule="auto"/>
              <w:ind w:left="46" w:right="6"/>
              <w:jc w:val="both"/>
            </w:pPr>
            <w:r>
              <w:rPr>
                <w:sz w:val="28"/>
              </w:rPr>
              <w:t>Ministerstvo zemědělství podporuje Smart Agricultural Disaster Prevention Platform, která integruje informace o prevenci katastrof od centrálních a místních vlád a kombinuje environmentální vnímání s technologií AI. Díky okamžitým upozorněním a praktickým preventivním doporučením pomáhá platforma farmářům připravit se na možné katastrofy předem a snížit ztráty.</w:t>
            </w:r>
          </w:p>
          <w:p w14:paraId="2D025622" w14:textId="77777777" w:rsidR="00F33C03" w:rsidRDefault="00647E24">
            <w:pPr>
              <w:numPr>
                <w:ilvl w:val="0"/>
                <w:numId w:val="4"/>
              </w:numPr>
              <w:spacing w:after="8"/>
              <w:ind w:left="323" w:hanging="277"/>
            </w:pPr>
            <w:r>
              <w:rPr>
                <w:sz w:val="28"/>
              </w:rPr>
              <w:t>Integrované informace o prevenci katastrof</w:t>
            </w:r>
          </w:p>
          <w:p w14:paraId="4DAF0EB2" w14:textId="77777777" w:rsidR="00F33C03" w:rsidRDefault="00647E24">
            <w:pPr>
              <w:ind w:left="-34" w:right="7" w:firstLine="79"/>
              <w:jc w:val="both"/>
            </w:pPr>
            <w:r>
              <w:rPr>
                <w:sz w:val="28"/>
              </w:rPr>
              <w:t>Systém konsoliduje výstrahy před počasím pro tajfuny, silné deště, silný vítr a extrémní teploty, stejně jako varování před požáry a výskytem škůdců. Integrací těchto informací s daty IoT vytváří mapu zemědělských podmínek Ddigital.</w:t>
            </w:r>
          </w:p>
          <w:p w14:paraId="4FD3B348" w14:textId="77777777" w:rsidR="00F33C03" w:rsidRDefault="00647E24">
            <w:pPr>
              <w:numPr>
                <w:ilvl w:val="0"/>
                <w:numId w:val="4"/>
              </w:numPr>
              <w:spacing w:after="8"/>
              <w:ind w:left="323" w:hanging="277"/>
            </w:pPr>
            <w:r>
              <w:rPr>
                <w:sz w:val="28"/>
              </w:rPr>
              <w:t>Monitorování místního životního prostředí v reálném čase</w:t>
            </w:r>
          </w:p>
          <w:p w14:paraId="0791AB39" w14:textId="77777777" w:rsidR="00F33C03" w:rsidRDefault="00647E24">
            <w:pPr>
              <w:ind w:left="46" w:right="6"/>
              <w:jc w:val="both"/>
            </w:pPr>
            <w:r>
              <w:rPr>
                <w:sz w:val="28"/>
              </w:rPr>
              <w:t>Dvacet mikrometeorologických stanic bylo rozmístěno v hlavních zemědělských oblastech, které poskytují nepřetržité monitorování srážek, rychlosti větru, teploty, vlhkosti a dalších dat, což poskytuje nejrychlejší a místně nejpřesnější informace o počasí.</w:t>
            </w:r>
          </w:p>
          <w:p w14:paraId="7A6269EB" w14:textId="77777777" w:rsidR="00F33C03" w:rsidRDefault="00647E24">
            <w:pPr>
              <w:numPr>
                <w:ilvl w:val="0"/>
                <w:numId w:val="4"/>
              </w:numPr>
              <w:spacing w:after="8"/>
              <w:ind w:left="323" w:hanging="277"/>
            </w:pPr>
            <w:r>
              <w:rPr>
                <w:sz w:val="28"/>
              </w:rPr>
              <w:t>Upozornění na regionální upozornění</w:t>
            </w:r>
          </w:p>
          <w:p w14:paraId="2C864FC3" w14:textId="77777777" w:rsidR="00F33C03" w:rsidRDefault="00647E24">
            <w:pPr>
              <w:ind w:left="46" w:right="7"/>
              <w:jc w:val="both"/>
            </w:pPr>
            <w:r>
              <w:rPr>
                <w:sz w:val="28"/>
              </w:rPr>
              <w:t>Systém automaticky analyzuje rizika katastrof a posílá farmářům včasná varování a doporučená opatření prostřednictvím komunikačního softwaru, čímž efektivně snižuje ztráty při katastrofách a chrání zemědělskou produkci.</w:t>
            </w:r>
          </w:p>
        </w:tc>
        <w:tc>
          <w:tcPr>
            <w:tcW w:w="2962" w:type="dxa"/>
            <w:tcBorders>
              <w:top w:val="single" w:sz="8" w:space="0" w:color="000000"/>
              <w:left w:val="single" w:sz="8" w:space="0" w:color="000000"/>
              <w:bottom w:val="single" w:sz="8" w:space="0" w:color="000000"/>
              <w:right w:val="single" w:sz="8" w:space="0" w:color="000000"/>
            </w:tcBorders>
          </w:tcPr>
          <w:p w14:paraId="37AEBB31" w14:textId="77777777" w:rsidR="00F33C03" w:rsidRDefault="00F33C03"/>
        </w:tc>
      </w:tr>
      <w:tr w:rsidR="00F33C03" w14:paraId="3FB52B9D" w14:textId="77777777">
        <w:trPr>
          <w:trHeight w:val="434"/>
        </w:trPr>
        <w:tc>
          <w:tcPr>
            <w:tcW w:w="21477" w:type="dxa"/>
            <w:gridSpan w:val="5"/>
            <w:tcBorders>
              <w:top w:val="single" w:sz="8" w:space="0" w:color="000000"/>
              <w:left w:val="single" w:sz="8" w:space="0" w:color="000000"/>
              <w:bottom w:val="single" w:sz="8" w:space="0" w:color="000000"/>
              <w:right w:val="single" w:sz="8" w:space="0" w:color="000000"/>
            </w:tcBorders>
            <w:shd w:val="clear" w:color="auto" w:fill="B7B7B7"/>
          </w:tcPr>
          <w:p w14:paraId="2A4F4FCD" w14:textId="77777777" w:rsidR="00F33C03" w:rsidRDefault="00647E24">
            <w:pPr>
              <w:ind w:left="43"/>
            </w:pPr>
            <w:r>
              <w:rPr>
                <w:sz w:val="28"/>
              </w:rPr>
              <w:t>Kulturní politika</w:t>
            </w:r>
          </w:p>
        </w:tc>
      </w:tr>
      <w:tr w:rsidR="00F33C03" w14:paraId="288EA09E" w14:textId="77777777">
        <w:trPr>
          <w:trHeight w:val="466"/>
        </w:trPr>
        <w:tc>
          <w:tcPr>
            <w:tcW w:w="1354" w:type="dxa"/>
            <w:tcBorders>
              <w:top w:val="single" w:sz="8" w:space="0" w:color="000000"/>
              <w:left w:val="single" w:sz="8" w:space="0" w:color="000000"/>
              <w:bottom w:val="single" w:sz="8" w:space="0" w:color="000000"/>
              <w:right w:val="single" w:sz="8" w:space="0" w:color="000000"/>
            </w:tcBorders>
            <w:shd w:val="clear" w:color="auto" w:fill="CCCCCC"/>
          </w:tcPr>
          <w:p w14:paraId="2456EC18" w14:textId="77777777" w:rsidR="00F33C03" w:rsidRDefault="00647E24">
            <w:pPr>
              <w:ind w:left="43"/>
            </w:pPr>
            <w:r>
              <w:rPr>
                <w:sz w:val="28"/>
              </w:rPr>
              <w:t>Kategorie</w:t>
            </w:r>
          </w:p>
        </w:tc>
        <w:tc>
          <w:tcPr>
            <w:tcW w:w="20123" w:type="dxa"/>
            <w:gridSpan w:val="4"/>
            <w:tcBorders>
              <w:top w:val="single" w:sz="8" w:space="0" w:color="000000"/>
              <w:left w:val="single" w:sz="8" w:space="0" w:color="000000"/>
              <w:bottom w:val="single" w:sz="8" w:space="0" w:color="000000"/>
              <w:right w:val="single" w:sz="8" w:space="0" w:color="000000"/>
            </w:tcBorders>
            <w:shd w:val="clear" w:color="auto" w:fill="CCCCCC"/>
          </w:tcPr>
          <w:p w14:paraId="35AC2831" w14:textId="77777777" w:rsidR="00F33C03" w:rsidRDefault="00647E24">
            <w:pPr>
              <w:ind w:left="46"/>
            </w:pPr>
            <w:r>
              <w:rPr>
                <w:sz w:val="28"/>
              </w:rPr>
              <w:t>Klíčové politiky a významné momenty ocenění</w:t>
            </w:r>
          </w:p>
        </w:tc>
      </w:tr>
      <w:tr w:rsidR="00F33C03" w14:paraId="6A31F358" w14:textId="77777777">
        <w:trPr>
          <w:trHeight w:val="1075"/>
        </w:trPr>
        <w:tc>
          <w:tcPr>
            <w:tcW w:w="1354" w:type="dxa"/>
            <w:vMerge w:val="restart"/>
            <w:tcBorders>
              <w:top w:val="single" w:sz="8" w:space="0" w:color="000000"/>
              <w:left w:val="single" w:sz="8" w:space="0" w:color="000000"/>
              <w:bottom w:val="single" w:sz="8" w:space="0" w:color="000000"/>
              <w:right w:val="single" w:sz="8" w:space="0" w:color="000000"/>
            </w:tcBorders>
          </w:tcPr>
          <w:p w14:paraId="02B48573" w14:textId="77777777" w:rsidR="00F33C03" w:rsidRDefault="00647E24">
            <w:pPr>
              <w:ind w:left="43"/>
            </w:pPr>
            <w:r>
              <w:rPr>
                <w:sz w:val="28"/>
              </w:rPr>
              <w:t>Kulturní politika</w:t>
            </w:r>
          </w:p>
        </w:tc>
        <w:tc>
          <w:tcPr>
            <w:tcW w:w="17162" w:type="dxa"/>
            <w:gridSpan w:val="3"/>
            <w:tcBorders>
              <w:top w:val="single" w:sz="8" w:space="0" w:color="000000"/>
              <w:left w:val="single" w:sz="8" w:space="0" w:color="000000"/>
              <w:bottom w:val="single" w:sz="8" w:space="0" w:color="000000"/>
              <w:right w:val="single" w:sz="8" w:space="0" w:color="000000"/>
            </w:tcBorders>
          </w:tcPr>
          <w:p w14:paraId="62703B28" w14:textId="77777777" w:rsidR="00F33C03" w:rsidRDefault="00647E24">
            <w:pPr>
              <w:ind w:left="46" w:right="7"/>
              <w:jc w:val="both"/>
            </w:pPr>
            <w:r>
              <w:rPr>
                <w:sz w:val="28"/>
              </w:rPr>
              <w:t>Městská správa Taoyuan se řídí filozofií "Zakořenit dolů, vzhůru vzhůru" a prosazovat komplexní kulturní politiku. Tato politika si klade za cíl upevnit městskou značku Taoyuanu a podpořit jedinečnou kulturní správu v každé čtvrti, čímž buduje občanskou soudržnost a vytváří kulturně bohatý Taoyuan, který je zároveň inkluzivní a zároveň centrem humanitních talentů.</w:t>
            </w:r>
          </w:p>
        </w:tc>
        <w:tc>
          <w:tcPr>
            <w:tcW w:w="2962" w:type="dxa"/>
            <w:tcBorders>
              <w:top w:val="single" w:sz="8" w:space="0" w:color="000000"/>
              <w:left w:val="single" w:sz="8" w:space="0" w:color="000000"/>
              <w:bottom w:val="single" w:sz="8" w:space="0" w:color="000000"/>
              <w:right w:val="single" w:sz="8" w:space="0" w:color="000000"/>
            </w:tcBorders>
          </w:tcPr>
          <w:p w14:paraId="069A5816" w14:textId="77777777" w:rsidR="00F33C03" w:rsidRDefault="00F33C03"/>
        </w:tc>
      </w:tr>
      <w:tr w:rsidR="00F33C03" w14:paraId="7CF1CF3E" w14:textId="77777777">
        <w:trPr>
          <w:trHeight w:val="360"/>
        </w:trPr>
        <w:tc>
          <w:tcPr>
            <w:tcW w:w="0" w:type="auto"/>
            <w:vMerge/>
            <w:tcBorders>
              <w:top w:val="nil"/>
              <w:left w:val="single" w:sz="8" w:space="0" w:color="000000"/>
              <w:bottom w:val="single" w:sz="8" w:space="0" w:color="000000"/>
              <w:right w:val="single" w:sz="8" w:space="0" w:color="000000"/>
            </w:tcBorders>
          </w:tcPr>
          <w:p w14:paraId="19516F62" w14:textId="77777777" w:rsidR="00F33C03" w:rsidRDefault="00F33C03"/>
        </w:tc>
        <w:tc>
          <w:tcPr>
            <w:tcW w:w="4006" w:type="dxa"/>
            <w:gridSpan w:val="2"/>
            <w:tcBorders>
              <w:top w:val="single" w:sz="8" w:space="0" w:color="000000"/>
              <w:left w:val="single" w:sz="8" w:space="0" w:color="000000"/>
              <w:bottom w:val="single" w:sz="8" w:space="0" w:color="000000"/>
              <w:right w:val="single" w:sz="8" w:space="0" w:color="000000"/>
            </w:tcBorders>
            <w:shd w:val="clear" w:color="auto" w:fill="CCCCCC"/>
          </w:tcPr>
          <w:p w14:paraId="642AB21B" w14:textId="77777777" w:rsidR="00F33C03" w:rsidRDefault="00647E24">
            <w:pPr>
              <w:ind w:left="46"/>
            </w:pPr>
            <w:r>
              <w:rPr>
                <w:sz w:val="28"/>
              </w:rPr>
              <w:t>Klíčové politiky</w:t>
            </w:r>
          </w:p>
        </w:tc>
        <w:tc>
          <w:tcPr>
            <w:tcW w:w="13156" w:type="dxa"/>
            <w:tcBorders>
              <w:top w:val="single" w:sz="8" w:space="0" w:color="000000"/>
              <w:left w:val="single" w:sz="8" w:space="0" w:color="000000"/>
              <w:bottom w:val="single" w:sz="8" w:space="0" w:color="000000"/>
              <w:right w:val="single" w:sz="8" w:space="0" w:color="000000"/>
            </w:tcBorders>
            <w:shd w:val="clear" w:color="auto" w:fill="CCCCCC"/>
          </w:tcPr>
          <w:p w14:paraId="54FF95CA" w14:textId="77777777" w:rsidR="00F33C03" w:rsidRDefault="00647E24">
            <w:pPr>
              <w:ind w:left="46"/>
            </w:pPr>
            <w:r>
              <w:rPr>
                <w:sz w:val="28"/>
              </w:rPr>
              <w:t>Popis</w:t>
            </w:r>
          </w:p>
        </w:tc>
        <w:tc>
          <w:tcPr>
            <w:tcW w:w="2962" w:type="dxa"/>
            <w:tcBorders>
              <w:top w:val="single" w:sz="8" w:space="0" w:color="000000"/>
              <w:left w:val="single" w:sz="8" w:space="0" w:color="000000"/>
              <w:bottom w:val="single" w:sz="8" w:space="0" w:color="000000"/>
              <w:right w:val="single" w:sz="8" w:space="0" w:color="000000"/>
            </w:tcBorders>
            <w:shd w:val="clear" w:color="auto" w:fill="B7B7B7"/>
          </w:tcPr>
          <w:p w14:paraId="6C225A5F" w14:textId="77777777" w:rsidR="00F33C03" w:rsidRDefault="00647E24">
            <w:pPr>
              <w:ind w:left="46"/>
            </w:pPr>
            <w:r>
              <w:rPr>
                <w:sz w:val="28"/>
              </w:rPr>
              <w:t>Ocenění</w:t>
            </w:r>
          </w:p>
        </w:tc>
      </w:tr>
    </w:tbl>
    <w:p w14:paraId="63A86A8B" w14:textId="77777777" w:rsidR="00F33C03" w:rsidRDefault="00F33C03">
      <w:pPr>
        <w:spacing w:after="0"/>
        <w:ind w:left="-1440" w:right="22368"/>
      </w:pPr>
    </w:p>
    <w:tbl>
      <w:tblPr>
        <w:tblStyle w:val="TableGrid"/>
        <w:tblW w:w="21482" w:type="dxa"/>
        <w:tblInd w:w="-286" w:type="dxa"/>
        <w:tblCellMar>
          <w:left w:w="46" w:type="dxa"/>
          <w:bottom w:w="167" w:type="dxa"/>
          <w:right w:w="39" w:type="dxa"/>
        </w:tblCellMar>
        <w:tblLook w:val="04A0" w:firstRow="1" w:lastRow="0" w:firstColumn="1" w:lastColumn="0" w:noHBand="0" w:noVBand="1"/>
      </w:tblPr>
      <w:tblGrid>
        <w:gridCol w:w="1356"/>
        <w:gridCol w:w="1798"/>
        <w:gridCol w:w="2208"/>
        <w:gridCol w:w="13156"/>
        <w:gridCol w:w="2964"/>
      </w:tblGrid>
      <w:tr w:rsidR="00F33C03" w14:paraId="3909351B" w14:textId="77777777">
        <w:trPr>
          <w:trHeight w:val="3185"/>
        </w:trPr>
        <w:tc>
          <w:tcPr>
            <w:tcW w:w="1356" w:type="dxa"/>
            <w:vMerge w:val="restart"/>
            <w:tcBorders>
              <w:top w:val="single" w:sz="8" w:space="0" w:color="000000"/>
              <w:left w:val="single" w:sz="8" w:space="0" w:color="000000"/>
              <w:bottom w:val="single" w:sz="8" w:space="0" w:color="000000"/>
              <w:right w:val="single" w:sz="8" w:space="0" w:color="000000"/>
            </w:tcBorders>
          </w:tcPr>
          <w:p w14:paraId="4F0C3B6D" w14:textId="77777777" w:rsidR="00F33C03" w:rsidRDefault="00F33C03"/>
        </w:tc>
        <w:tc>
          <w:tcPr>
            <w:tcW w:w="1798" w:type="dxa"/>
            <w:vMerge w:val="restart"/>
            <w:tcBorders>
              <w:top w:val="single" w:sz="8" w:space="0" w:color="000000"/>
              <w:left w:val="single" w:sz="8" w:space="0" w:color="000000"/>
              <w:bottom w:val="single" w:sz="8" w:space="0" w:color="000000"/>
              <w:right w:val="single" w:sz="8" w:space="0" w:color="000000"/>
            </w:tcBorders>
            <w:vAlign w:val="bottom"/>
          </w:tcPr>
          <w:p w14:paraId="235091C7" w14:textId="77777777" w:rsidR="00F33C03" w:rsidRDefault="00647E24">
            <w:pPr>
              <w:jc w:val="both"/>
            </w:pPr>
            <w:r>
              <w:rPr>
                <w:sz w:val="28"/>
              </w:rPr>
              <w:t>Hlavní umění a</w:t>
            </w:r>
          </w:p>
          <w:p w14:paraId="64F53637" w14:textId="77777777" w:rsidR="00F33C03" w:rsidRDefault="00647E24">
            <w:r>
              <w:rPr>
                <w:sz w:val="28"/>
              </w:rPr>
              <w:t>Kultura</w:t>
            </w:r>
          </w:p>
          <w:p w14:paraId="2E2DBB4A" w14:textId="77777777" w:rsidR="00F33C03" w:rsidRDefault="00647E24">
            <w:r>
              <w:rPr>
                <w:sz w:val="28"/>
              </w:rPr>
              <w:t>Události</w:t>
            </w:r>
          </w:p>
        </w:tc>
        <w:tc>
          <w:tcPr>
            <w:tcW w:w="2208" w:type="dxa"/>
            <w:tcBorders>
              <w:top w:val="single" w:sz="8" w:space="0" w:color="000000"/>
              <w:left w:val="single" w:sz="8" w:space="0" w:color="000000"/>
              <w:bottom w:val="single" w:sz="8" w:space="0" w:color="000000"/>
              <w:right w:val="single" w:sz="8" w:space="0" w:color="000000"/>
            </w:tcBorders>
            <w:vAlign w:val="center"/>
          </w:tcPr>
          <w:p w14:paraId="2B76E186" w14:textId="77777777" w:rsidR="00F33C03" w:rsidRDefault="00647E24">
            <w:r>
              <w:rPr>
                <w:sz w:val="28"/>
              </w:rPr>
              <w:t>Taoyuanské krajinské umění</w:t>
            </w:r>
          </w:p>
          <w:p w14:paraId="0AB68AC7" w14:textId="77777777" w:rsidR="00F33C03" w:rsidRDefault="00647E24">
            <w:r>
              <w:rPr>
                <w:sz w:val="28"/>
              </w:rPr>
              <w:t>Festival</w:t>
            </w:r>
          </w:p>
        </w:tc>
        <w:tc>
          <w:tcPr>
            <w:tcW w:w="13156" w:type="dxa"/>
            <w:tcBorders>
              <w:top w:val="single" w:sz="8" w:space="0" w:color="000000"/>
              <w:left w:val="single" w:sz="8" w:space="0" w:color="000000"/>
              <w:bottom w:val="single" w:sz="8" w:space="0" w:color="000000"/>
              <w:right w:val="single" w:sz="8" w:space="0" w:color="000000"/>
            </w:tcBorders>
            <w:vAlign w:val="center"/>
          </w:tcPr>
          <w:p w14:paraId="17F6B782" w14:textId="77777777" w:rsidR="00F33C03" w:rsidRDefault="00647E24">
            <w:pPr>
              <w:ind w:right="1"/>
              <w:jc w:val="both"/>
            </w:pPr>
            <w:r>
              <w:rPr>
                <w:sz w:val="28"/>
              </w:rPr>
              <w:t>Festival Taoyuan Land Art je jednou z hlavních kulturních a uměleckých událostí ve městě Taoyuan. Jeho hlavním cílem je integrovat umění do veřejných prostor, přibližovat ho životnímu prostředí a každodennímu životu, přičemž zároveň propaguje jedinečné přírodní krajiny a kulturní prvky Taoyuanu. Od roku 2025 se festival promění v bienální výstavu, která se bude konat každé dva roky. Prostřednictvím místního terénního výzkumu, který zkoumá rozmanité krajiny a historický kontext Taoyuanu, v kombinaci s profesionální kurátorskou péčí o uměleckou péči, si festival klade za cíl vytvořit kulturní značku Taoyuanu a stát se významnou kulturní událostí, kterou obdivují domácí i zahraniční umělci.</w:t>
            </w:r>
          </w:p>
        </w:tc>
        <w:tc>
          <w:tcPr>
            <w:tcW w:w="2964" w:type="dxa"/>
            <w:tcBorders>
              <w:top w:val="single" w:sz="8" w:space="0" w:color="000000"/>
              <w:left w:val="single" w:sz="8" w:space="0" w:color="000000"/>
              <w:bottom w:val="single" w:sz="8" w:space="0" w:color="000000"/>
              <w:right w:val="single" w:sz="8" w:space="0" w:color="000000"/>
            </w:tcBorders>
            <w:vAlign w:val="center"/>
          </w:tcPr>
          <w:p w14:paraId="6EEAA714" w14:textId="77777777" w:rsidR="00F33C03" w:rsidRDefault="00647E24">
            <w:r>
              <w:rPr>
                <w:rFonts w:ascii="Microsoft JhengHei UI" w:eastAsia="Microsoft JhengHei UI" w:hAnsi="Microsoft JhengHei UI" w:cs="Microsoft JhengHei UI"/>
                <w:sz w:val="28"/>
              </w:rPr>
              <w:t>「</w:t>
            </w:r>
            <w:r>
              <w:rPr>
                <w:sz w:val="28"/>
              </w:rPr>
              <w:t>2024 italský A' Design</w:t>
            </w:r>
          </w:p>
          <w:p w14:paraId="3B189497" w14:textId="77777777" w:rsidR="00F33C03" w:rsidRDefault="00647E24">
            <w:r>
              <w:rPr>
                <w:sz w:val="28"/>
              </w:rPr>
              <w:t>Ocenění-Zlaté ocenění</w:t>
            </w:r>
            <w:r>
              <w:rPr>
                <w:rFonts w:ascii="Microsoft JhengHei UI" w:eastAsia="Microsoft JhengHei UI" w:hAnsi="Microsoft JhengHei UI" w:cs="Microsoft JhengHei UI"/>
                <w:sz w:val="28"/>
              </w:rPr>
              <w:t>」</w:t>
            </w:r>
          </w:p>
        </w:tc>
      </w:tr>
      <w:tr w:rsidR="00F33C03" w14:paraId="353A8998" w14:textId="77777777">
        <w:trPr>
          <w:trHeight w:val="2573"/>
        </w:trPr>
        <w:tc>
          <w:tcPr>
            <w:tcW w:w="0" w:type="auto"/>
            <w:vMerge/>
            <w:tcBorders>
              <w:top w:val="nil"/>
              <w:left w:val="single" w:sz="8" w:space="0" w:color="000000"/>
              <w:bottom w:val="nil"/>
              <w:right w:val="single" w:sz="8" w:space="0" w:color="000000"/>
            </w:tcBorders>
          </w:tcPr>
          <w:p w14:paraId="314714E4" w14:textId="77777777" w:rsidR="00F33C03" w:rsidRDefault="00F33C03"/>
        </w:tc>
        <w:tc>
          <w:tcPr>
            <w:tcW w:w="0" w:type="auto"/>
            <w:vMerge/>
            <w:tcBorders>
              <w:top w:val="nil"/>
              <w:left w:val="single" w:sz="8" w:space="0" w:color="000000"/>
              <w:bottom w:val="nil"/>
              <w:right w:val="single" w:sz="8" w:space="0" w:color="000000"/>
            </w:tcBorders>
          </w:tcPr>
          <w:p w14:paraId="0EF93EA1"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0AE46B20" w14:textId="77777777" w:rsidR="00F33C03" w:rsidRDefault="00647E24">
            <w:r>
              <w:rPr>
                <w:sz w:val="28"/>
              </w:rPr>
              <w:t>Výstava výtvarného umění v Taoyuanu</w:t>
            </w:r>
          </w:p>
        </w:tc>
        <w:tc>
          <w:tcPr>
            <w:tcW w:w="13156" w:type="dxa"/>
            <w:tcBorders>
              <w:top w:val="single" w:sz="8" w:space="0" w:color="000000"/>
              <w:left w:val="single" w:sz="8" w:space="0" w:color="000000"/>
              <w:bottom w:val="single" w:sz="8" w:space="0" w:color="000000"/>
              <w:right w:val="single" w:sz="8" w:space="0" w:color="000000"/>
            </w:tcBorders>
            <w:vAlign w:val="center"/>
          </w:tcPr>
          <w:p w14:paraId="77EE6CC9" w14:textId="77777777" w:rsidR="00F33C03" w:rsidRDefault="00647E24">
            <w:pPr>
              <w:spacing w:after="9"/>
              <w:ind w:right="1"/>
              <w:jc w:val="both"/>
            </w:pPr>
            <w:r>
              <w:rPr>
                <w:sz w:val="28"/>
              </w:rPr>
              <w:t>Od svého založení v roce 1982 Výstava výtvarného umění v Taoyuanu neustále podporuje uměleckou diverzifikaci a rozvoj místní tvorby. Stala se důležitou platformou pro rozvoj nesčetných uměleckých děl a vynikajících umělců.</w:t>
            </w:r>
          </w:p>
          <w:p w14:paraId="10D043C6" w14:textId="77777777" w:rsidR="00F33C03" w:rsidRDefault="00647E24">
            <w:pPr>
              <w:ind w:right="1"/>
              <w:jc w:val="both"/>
            </w:pPr>
            <w:r>
              <w:rPr>
                <w:sz w:val="28"/>
              </w:rPr>
              <w:t>Každý rok výstava vybírá různá témata, která odrážejí současné umělecké trendy, a podněcuje bohatou kreativitu prostřednictvím mezioborových výměn. To účinně ukazuje významný status Taoyuanu na národní scéně umění a kultury.</w:t>
            </w:r>
          </w:p>
        </w:tc>
        <w:tc>
          <w:tcPr>
            <w:tcW w:w="2964" w:type="dxa"/>
            <w:tcBorders>
              <w:top w:val="single" w:sz="8" w:space="0" w:color="000000"/>
              <w:left w:val="single" w:sz="8" w:space="0" w:color="000000"/>
              <w:bottom w:val="single" w:sz="8" w:space="0" w:color="000000"/>
              <w:right w:val="single" w:sz="8" w:space="0" w:color="000000"/>
            </w:tcBorders>
          </w:tcPr>
          <w:p w14:paraId="20C4B403" w14:textId="77777777" w:rsidR="00F33C03" w:rsidRDefault="00F33C03"/>
        </w:tc>
      </w:tr>
      <w:tr w:rsidR="00F33C03" w14:paraId="066587D2" w14:textId="77777777">
        <w:trPr>
          <w:trHeight w:val="4551"/>
        </w:trPr>
        <w:tc>
          <w:tcPr>
            <w:tcW w:w="0" w:type="auto"/>
            <w:vMerge/>
            <w:tcBorders>
              <w:top w:val="nil"/>
              <w:left w:val="single" w:sz="8" w:space="0" w:color="000000"/>
              <w:bottom w:val="nil"/>
              <w:right w:val="single" w:sz="8" w:space="0" w:color="000000"/>
            </w:tcBorders>
          </w:tcPr>
          <w:p w14:paraId="21BD5008" w14:textId="77777777" w:rsidR="00F33C03" w:rsidRDefault="00F33C03"/>
        </w:tc>
        <w:tc>
          <w:tcPr>
            <w:tcW w:w="0" w:type="auto"/>
            <w:vMerge/>
            <w:tcBorders>
              <w:top w:val="nil"/>
              <w:left w:val="single" w:sz="8" w:space="0" w:color="000000"/>
              <w:bottom w:val="nil"/>
              <w:right w:val="single" w:sz="8" w:space="0" w:color="000000"/>
            </w:tcBorders>
          </w:tcPr>
          <w:p w14:paraId="76B40524"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733625CB" w14:textId="77777777" w:rsidR="00F33C03" w:rsidRDefault="00647E24">
            <w:r>
              <w:rPr>
                <w:sz w:val="28"/>
              </w:rPr>
              <w:t>Daxi Craft Week</w:t>
            </w:r>
          </w:p>
        </w:tc>
        <w:tc>
          <w:tcPr>
            <w:tcW w:w="13156" w:type="dxa"/>
            <w:tcBorders>
              <w:top w:val="single" w:sz="8" w:space="0" w:color="000000"/>
              <w:left w:val="single" w:sz="8" w:space="0" w:color="000000"/>
              <w:bottom w:val="single" w:sz="8" w:space="0" w:color="000000"/>
              <w:right w:val="single" w:sz="8" w:space="0" w:color="000000"/>
            </w:tcBorders>
            <w:vAlign w:val="center"/>
          </w:tcPr>
          <w:p w14:paraId="7F54D65A" w14:textId="77777777" w:rsidR="00F33C03" w:rsidRDefault="00647E24">
            <w:pPr>
              <w:spacing w:after="9"/>
              <w:jc w:val="both"/>
            </w:pPr>
            <w:r>
              <w:rPr>
                <w:sz w:val="28"/>
              </w:rPr>
              <w:t>Daxi je již dlouho proslulé svým vynikajícím řemeslným zpracováním dřeva. V počátcích oblast prosperovala díky rušné říční dopravě a četným zavedeným podnikům; její dřevěný nábytek a předkové oltáře získaly slávu po celém Tchaj-wanu, čímž vytvořily hluboký základ řemeslné kultury.</w:t>
            </w:r>
          </w:p>
          <w:p w14:paraId="74B03367" w14:textId="77777777" w:rsidR="00F33C03" w:rsidRDefault="00647E24">
            <w:pPr>
              <w:jc w:val="both"/>
            </w:pPr>
            <w:r>
              <w:rPr>
                <w:sz w:val="28"/>
              </w:rPr>
              <w:t>Na podporu udržitelného rozvoje tohoto místního řemesla se zde nachází Taoyuan Museum of Wooden Art and Furniture</w:t>
            </w:r>
          </w:p>
          <w:p w14:paraId="26B0E83C" w14:textId="77777777" w:rsidR="00F33C03" w:rsidRDefault="00647E24">
            <w:pPr>
              <w:spacing w:after="8"/>
            </w:pPr>
            <w:r>
              <w:rPr>
                <w:sz w:val="28"/>
              </w:rPr>
              <w:t>(Daxi Wood Art Ecomuseum) předložilo vizi vytvoření "Města řemeslné práce."</w:t>
            </w:r>
          </w:p>
          <w:p w14:paraId="6BCA1C56" w14:textId="77777777" w:rsidR="00F33C03" w:rsidRDefault="00647E24">
            <w:pPr>
              <w:ind w:right="1"/>
              <w:jc w:val="both"/>
            </w:pPr>
            <w:r>
              <w:rPr>
                <w:sz w:val="28"/>
              </w:rPr>
              <w:t>Muzeum využívá "Daxi Craft Week" jako klíčovou platformu pro mezioborovou výměnu a výstavy. Tato iniciativa integruje místní řemeslné workshopy, mezinárodní výměny měst a praktické zkušenostní aktivity. Pozváním partnerů z řemeslného průmyslu a nadšenců řemeslného a ručně vyráběného života si akce klade za cíl představit inovativní energii a kulturní kouzlo Města řemesl.</w:t>
            </w:r>
          </w:p>
        </w:tc>
        <w:tc>
          <w:tcPr>
            <w:tcW w:w="2964" w:type="dxa"/>
            <w:tcBorders>
              <w:top w:val="single" w:sz="8" w:space="0" w:color="000000"/>
              <w:left w:val="single" w:sz="8" w:space="0" w:color="000000"/>
              <w:bottom w:val="single" w:sz="8" w:space="0" w:color="000000"/>
              <w:right w:val="single" w:sz="8" w:space="0" w:color="000000"/>
            </w:tcBorders>
          </w:tcPr>
          <w:p w14:paraId="43AE0794" w14:textId="77777777" w:rsidR="00F33C03" w:rsidRDefault="00F33C03"/>
        </w:tc>
      </w:tr>
      <w:tr w:rsidR="00F33C03" w14:paraId="7872C918" w14:textId="77777777">
        <w:trPr>
          <w:trHeight w:val="2835"/>
        </w:trPr>
        <w:tc>
          <w:tcPr>
            <w:tcW w:w="0" w:type="auto"/>
            <w:vMerge/>
            <w:tcBorders>
              <w:top w:val="nil"/>
              <w:left w:val="single" w:sz="8" w:space="0" w:color="000000"/>
              <w:bottom w:val="single" w:sz="8" w:space="0" w:color="000000"/>
              <w:right w:val="single" w:sz="8" w:space="0" w:color="000000"/>
            </w:tcBorders>
          </w:tcPr>
          <w:p w14:paraId="0018289C" w14:textId="77777777" w:rsidR="00F33C03" w:rsidRDefault="00F33C03"/>
        </w:tc>
        <w:tc>
          <w:tcPr>
            <w:tcW w:w="0" w:type="auto"/>
            <w:vMerge/>
            <w:tcBorders>
              <w:top w:val="nil"/>
              <w:left w:val="single" w:sz="8" w:space="0" w:color="000000"/>
              <w:bottom w:val="single" w:sz="8" w:space="0" w:color="000000"/>
              <w:right w:val="single" w:sz="8" w:space="0" w:color="000000"/>
            </w:tcBorders>
          </w:tcPr>
          <w:p w14:paraId="39DA8751"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0F86136F" w14:textId="77777777" w:rsidR="00F33C03" w:rsidRDefault="00647E24">
            <w:r>
              <w:rPr>
                <w:sz w:val="28"/>
              </w:rPr>
              <w:t>Daxi Daxi</w:t>
            </w:r>
          </w:p>
        </w:tc>
        <w:tc>
          <w:tcPr>
            <w:tcW w:w="13156" w:type="dxa"/>
            <w:tcBorders>
              <w:top w:val="single" w:sz="8" w:space="0" w:color="000000"/>
              <w:left w:val="single" w:sz="8" w:space="0" w:color="000000"/>
              <w:bottom w:val="single" w:sz="8" w:space="0" w:color="000000"/>
              <w:right w:val="single" w:sz="8" w:space="0" w:color="000000"/>
            </w:tcBorders>
            <w:vAlign w:val="center"/>
          </w:tcPr>
          <w:p w14:paraId="25A444BF" w14:textId="77777777" w:rsidR="00F33C03" w:rsidRDefault="00647E24">
            <w:pPr>
              <w:spacing w:after="19" w:line="252" w:lineRule="auto"/>
              <w:jc w:val="both"/>
            </w:pPr>
            <w:r>
              <w:rPr>
                <w:sz w:val="28"/>
              </w:rPr>
              <w:t>24. den šestého lunárního měsíce znamená narozeniny bohyně, Guansheng Dijun (císaře Guana). Je to událost, kterou lidé z Daxi slaví jako svůj "Druhý nový rok."</w:t>
            </w:r>
          </w:p>
          <w:p w14:paraId="29EE0870" w14:textId="77777777" w:rsidR="00F33C03" w:rsidRDefault="00647E24">
            <w:pPr>
              <w:ind w:right="1"/>
              <w:jc w:val="both"/>
            </w:pPr>
            <w:r>
              <w:rPr>
                <w:sz w:val="28"/>
              </w:rPr>
              <w:t>Během tohoto období se celá komunita Daxi mobilizuje, aby se připravila na slavnostní průvod, tradice předávaná více než století. Mezi účastníky jsou personál chrámu, zástupci četných řemesel a průmyslů Daxi a místní, spontánně vzniklé skupiny známé jako "She-Tou" — každá s jedinečnými charakteristikami a příběhy. Oslava také dříve pozvala mezinárodní soubory, aby se zúčastnily velkolepé události a připojily se k průvodu.</w:t>
            </w:r>
          </w:p>
        </w:tc>
        <w:tc>
          <w:tcPr>
            <w:tcW w:w="2964" w:type="dxa"/>
            <w:tcBorders>
              <w:top w:val="single" w:sz="8" w:space="0" w:color="000000"/>
              <w:left w:val="single" w:sz="8" w:space="0" w:color="000000"/>
              <w:bottom w:val="single" w:sz="8" w:space="0" w:color="000000"/>
              <w:right w:val="single" w:sz="8" w:space="0" w:color="000000"/>
            </w:tcBorders>
          </w:tcPr>
          <w:p w14:paraId="2BC67B3E" w14:textId="77777777" w:rsidR="00F33C03" w:rsidRDefault="00F33C03"/>
        </w:tc>
      </w:tr>
    </w:tbl>
    <w:p w14:paraId="66999A2C" w14:textId="77777777" w:rsidR="00F33C03" w:rsidRDefault="00F33C03">
      <w:pPr>
        <w:spacing w:after="0"/>
        <w:ind w:left="-1440" w:right="22368"/>
      </w:pPr>
    </w:p>
    <w:tbl>
      <w:tblPr>
        <w:tblStyle w:val="TableGrid"/>
        <w:tblW w:w="21482" w:type="dxa"/>
        <w:tblInd w:w="-286" w:type="dxa"/>
        <w:tblCellMar>
          <w:left w:w="46" w:type="dxa"/>
          <w:right w:w="40" w:type="dxa"/>
        </w:tblCellMar>
        <w:tblLook w:val="04A0" w:firstRow="1" w:lastRow="0" w:firstColumn="1" w:lastColumn="0" w:noHBand="0" w:noVBand="1"/>
      </w:tblPr>
      <w:tblGrid>
        <w:gridCol w:w="1356"/>
        <w:gridCol w:w="1798"/>
        <w:gridCol w:w="2208"/>
        <w:gridCol w:w="13156"/>
        <w:gridCol w:w="2964"/>
      </w:tblGrid>
      <w:tr w:rsidR="00F33C03" w14:paraId="15DD00E1" w14:textId="77777777">
        <w:trPr>
          <w:trHeight w:val="2165"/>
        </w:trPr>
        <w:tc>
          <w:tcPr>
            <w:tcW w:w="1356" w:type="dxa"/>
            <w:vMerge w:val="restart"/>
            <w:tcBorders>
              <w:top w:val="single" w:sz="8" w:space="0" w:color="000000"/>
              <w:left w:val="single" w:sz="8" w:space="0" w:color="000000"/>
              <w:bottom w:val="single" w:sz="8" w:space="0" w:color="000000"/>
              <w:right w:val="single" w:sz="8" w:space="0" w:color="000000"/>
            </w:tcBorders>
          </w:tcPr>
          <w:p w14:paraId="2DBC7EF3" w14:textId="77777777" w:rsidR="00F33C03" w:rsidRDefault="00F33C03"/>
        </w:tc>
        <w:tc>
          <w:tcPr>
            <w:tcW w:w="1798" w:type="dxa"/>
            <w:vMerge w:val="restart"/>
            <w:tcBorders>
              <w:top w:val="single" w:sz="8" w:space="0" w:color="000000"/>
              <w:left w:val="single" w:sz="8" w:space="0" w:color="000000"/>
              <w:bottom w:val="single" w:sz="8" w:space="0" w:color="000000"/>
              <w:right w:val="single" w:sz="8" w:space="0" w:color="000000"/>
            </w:tcBorders>
          </w:tcPr>
          <w:p w14:paraId="335EF882"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5D7070F6" w14:textId="77777777" w:rsidR="00F33C03" w:rsidRDefault="00647E24">
            <w:pPr>
              <w:jc w:val="both"/>
            </w:pPr>
            <w:r>
              <w:rPr>
                <w:sz w:val="28"/>
              </w:rPr>
              <w:t>Taoyuanská železná růže</w:t>
            </w:r>
          </w:p>
          <w:p w14:paraId="3DAA7020" w14:textId="77777777" w:rsidR="00F33C03" w:rsidRDefault="00647E24">
            <w:r>
              <w:rPr>
                <w:sz w:val="28"/>
              </w:rPr>
              <w:t>Umělecký festival</w:t>
            </w:r>
          </w:p>
        </w:tc>
        <w:tc>
          <w:tcPr>
            <w:tcW w:w="13156" w:type="dxa"/>
            <w:tcBorders>
              <w:top w:val="single" w:sz="8" w:space="0" w:color="000000"/>
              <w:left w:val="single" w:sz="8" w:space="0" w:color="000000"/>
              <w:bottom w:val="single" w:sz="8" w:space="0" w:color="000000"/>
              <w:right w:val="single" w:sz="8" w:space="0" w:color="000000"/>
            </w:tcBorders>
            <w:vAlign w:val="center"/>
          </w:tcPr>
          <w:p w14:paraId="4E9C3E89" w14:textId="77777777" w:rsidR="00F33C03" w:rsidRDefault="00647E24">
            <w:pPr>
              <w:spacing w:after="19" w:line="252" w:lineRule="auto"/>
              <w:jc w:val="both"/>
            </w:pPr>
            <w:r>
              <w:rPr>
                <w:sz w:val="28"/>
              </w:rPr>
              <w:t>Festival umění Taoyuan Iron Rose zapojuje profesionální kurátory do celkového plánování a přináší rozsáhlé performance programy jak z domácích, tak zahraničních zdrojů.</w:t>
            </w:r>
          </w:p>
          <w:p w14:paraId="5B17EF7A" w14:textId="77777777" w:rsidR="00F33C03" w:rsidRDefault="00647E24">
            <w:pPr>
              <w:ind w:right="1"/>
              <w:jc w:val="both"/>
            </w:pPr>
            <w:r>
              <w:rPr>
                <w:sz w:val="28"/>
              </w:rPr>
              <w:t>Využitím různých formátů představení – včetně hudby, tance, dramatu a cirkusového umění – festival povzbuzuje veřejnost k návštěvě divadel a ocenění scénického umění. Tato iniciativa úspěšně formuje Iron Rose Art Festival v výrazný kulturní obraz značky města Taoyuan.</w:t>
            </w:r>
          </w:p>
        </w:tc>
        <w:tc>
          <w:tcPr>
            <w:tcW w:w="2964" w:type="dxa"/>
            <w:tcBorders>
              <w:top w:val="single" w:sz="8" w:space="0" w:color="000000"/>
              <w:left w:val="single" w:sz="8" w:space="0" w:color="000000"/>
              <w:bottom w:val="single" w:sz="8" w:space="0" w:color="000000"/>
              <w:right w:val="single" w:sz="8" w:space="0" w:color="000000"/>
            </w:tcBorders>
          </w:tcPr>
          <w:p w14:paraId="404AEFC4" w14:textId="77777777" w:rsidR="00F33C03" w:rsidRDefault="00F33C03"/>
        </w:tc>
      </w:tr>
      <w:tr w:rsidR="00F33C03" w14:paraId="0D927FE0" w14:textId="77777777">
        <w:trPr>
          <w:trHeight w:val="1162"/>
        </w:trPr>
        <w:tc>
          <w:tcPr>
            <w:tcW w:w="0" w:type="auto"/>
            <w:vMerge/>
            <w:tcBorders>
              <w:top w:val="nil"/>
              <w:left w:val="single" w:sz="8" w:space="0" w:color="000000"/>
              <w:bottom w:val="single" w:sz="8" w:space="0" w:color="000000"/>
              <w:right w:val="single" w:sz="8" w:space="0" w:color="000000"/>
            </w:tcBorders>
          </w:tcPr>
          <w:p w14:paraId="5A7786F0" w14:textId="77777777" w:rsidR="00F33C03" w:rsidRDefault="00F33C03"/>
        </w:tc>
        <w:tc>
          <w:tcPr>
            <w:tcW w:w="0" w:type="auto"/>
            <w:vMerge/>
            <w:tcBorders>
              <w:top w:val="nil"/>
              <w:left w:val="single" w:sz="8" w:space="0" w:color="000000"/>
              <w:bottom w:val="single" w:sz="8" w:space="0" w:color="000000"/>
              <w:right w:val="single" w:sz="8" w:space="0" w:color="000000"/>
            </w:tcBorders>
          </w:tcPr>
          <w:p w14:paraId="36807ECD"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7A8D6199" w14:textId="77777777" w:rsidR="00F33C03" w:rsidRDefault="00647E24">
            <w:r>
              <w:rPr>
                <w:sz w:val="28"/>
              </w:rPr>
              <w:t>Taoyuan Band</w:t>
            </w:r>
          </w:p>
          <w:p w14:paraId="1CE636B3" w14:textId="77777777" w:rsidR="00F33C03" w:rsidRDefault="00647E24">
            <w:r>
              <w:rPr>
                <w:sz w:val="28"/>
              </w:rPr>
              <w:t>Festival</w:t>
            </w:r>
          </w:p>
        </w:tc>
        <w:tc>
          <w:tcPr>
            <w:tcW w:w="13156" w:type="dxa"/>
            <w:tcBorders>
              <w:top w:val="single" w:sz="8" w:space="0" w:color="000000"/>
              <w:left w:val="single" w:sz="8" w:space="0" w:color="000000"/>
              <w:bottom w:val="single" w:sz="8" w:space="0" w:color="000000"/>
              <w:right w:val="single" w:sz="8" w:space="0" w:color="000000"/>
            </w:tcBorders>
            <w:vAlign w:val="center"/>
          </w:tcPr>
          <w:p w14:paraId="46CD3E47" w14:textId="77777777" w:rsidR="00F33C03" w:rsidRDefault="00647E24">
            <w:pPr>
              <w:jc w:val="both"/>
            </w:pPr>
            <w:r>
              <w:rPr>
                <w:sz w:val="28"/>
              </w:rPr>
              <w:t>Každoroční festival Taoyuan Band Festival se koná s cílem představit silný potenciál města v oblasti dechové hudby (nebo "energii větrné hudby"), podpořit uměleckou a kulturní výměnu mezi městy a rozvíjet umění dechové hudby.</w:t>
            </w:r>
          </w:p>
        </w:tc>
        <w:tc>
          <w:tcPr>
            <w:tcW w:w="2964" w:type="dxa"/>
            <w:tcBorders>
              <w:top w:val="single" w:sz="8" w:space="0" w:color="000000"/>
              <w:left w:val="single" w:sz="8" w:space="0" w:color="000000"/>
              <w:bottom w:val="single" w:sz="8" w:space="0" w:color="000000"/>
              <w:right w:val="single" w:sz="8" w:space="0" w:color="000000"/>
            </w:tcBorders>
            <w:vAlign w:val="center"/>
          </w:tcPr>
          <w:p w14:paraId="4ADB0E0C" w14:textId="77777777" w:rsidR="00F33C03" w:rsidRDefault="00647E24">
            <w:r>
              <w:rPr>
                <w:rFonts w:ascii="Microsoft JhengHei UI" w:eastAsia="Microsoft JhengHei UI" w:hAnsi="Microsoft JhengHei UI" w:cs="Microsoft JhengHei UI"/>
                <w:sz w:val="28"/>
              </w:rPr>
              <w:t>「</w:t>
            </w:r>
            <w:r>
              <w:rPr>
                <w:sz w:val="28"/>
              </w:rPr>
              <w:t>2024 London Design</w:t>
            </w:r>
          </w:p>
          <w:p w14:paraId="50B6BD8C" w14:textId="77777777" w:rsidR="00F33C03" w:rsidRDefault="00647E24">
            <w:r>
              <w:rPr>
                <w:sz w:val="28"/>
              </w:rPr>
              <w:t>Ocenění – Zlatá cena</w:t>
            </w:r>
            <w:r>
              <w:rPr>
                <w:rFonts w:ascii="Microsoft JhengHei UI" w:eastAsia="Microsoft JhengHei UI" w:hAnsi="Microsoft JhengHei UI" w:cs="Microsoft JhengHei UI"/>
                <w:sz w:val="28"/>
              </w:rPr>
              <w:t>」</w:t>
            </w:r>
          </w:p>
        </w:tc>
      </w:tr>
    </w:tbl>
    <w:p w14:paraId="484069F3" w14:textId="77777777" w:rsidR="00F33C03" w:rsidRDefault="00647E24">
      <w:r>
        <w:br w:type="page"/>
      </w:r>
    </w:p>
    <w:p w14:paraId="6A2D643E" w14:textId="77777777" w:rsidR="00F33C03" w:rsidRDefault="00F33C03">
      <w:pPr>
        <w:spacing w:after="0"/>
        <w:ind w:left="-1440" w:right="22368"/>
      </w:pPr>
    </w:p>
    <w:tbl>
      <w:tblPr>
        <w:tblStyle w:val="TableGrid"/>
        <w:tblW w:w="21477" w:type="dxa"/>
        <w:tblInd w:w="-283" w:type="dxa"/>
        <w:tblCellMar>
          <w:top w:w="123" w:type="dxa"/>
          <w:left w:w="43" w:type="dxa"/>
          <w:right w:w="39" w:type="dxa"/>
        </w:tblCellMar>
        <w:tblLook w:val="04A0" w:firstRow="1" w:lastRow="0" w:firstColumn="1" w:lastColumn="0" w:noHBand="0" w:noVBand="1"/>
      </w:tblPr>
      <w:tblGrid>
        <w:gridCol w:w="1354"/>
        <w:gridCol w:w="1798"/>
        <w:gridCol w:w="2208"/>
        <w:gridCol w:w="13155"/>
        <w:gridCol w:w="2962"/>
      </w:tblGrid>
      <w:tr w:rsidR="00F33C03" w14:paraId="56E09011" w14:textId="77777777">
        <w:trPr>
          <w:trHeight w:val="3301"/>
        </w:trPr>
        <w:tc>
          <w:tcPr>
            <w:tcW w:w="1354" w:type="dxa"/>
            <w:vMerge w:val="restart"/>
            <w:tcBorders>
              <w:top w:val="single" w:sz="8" w:space="0" w:color="000000"/>
              <w:left w:val="single" w:sz="8" w:space="0" w:color="000000"/>
              <w:bottom w:val="single" w:sz="8" w:space="0" w:color="000000"/>
              <w:right w:val="single" w:sz="8" w:space="0" w:color="000000"/>
            </w:tcBorders>
          </w:tcPr>
          <w:p w14:paraId="6A6B9DF9" w14:textId="77777777" w:rsidR="00F33C03" w:rsidRDefault="00F33C03"/>
        </w:tc>
        <w:tc>
          <w:tcPr>
            <w:tcW w:w="1798" w:type="dxa"/>
            <w:vMerge w:val="restart"/>
            <w:tcBorders>
              <w:top w:val="single" w:sz="8" w:space="0" w:color="000000"/>
              <w:left w:val="single" w:sz="8" w:space="0" w:color="000000"/>
              <w:bottom w:val="single" w:sz="8" w:space="0" w:color="000000"/>
              <w:right w:val="single" w:sz="8" w:space="0" w:color="000000"/>
            </w:tcBorders>
          </w:tcPr>
          <w:p w14:paraId="3D985889"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18895C02" w14:textId="77777777" w:rsidR="00F33C03" w:rsidRDefault="00647E24">
            <w:pPr>
              <w:ind w:left="2"/>
            </w:pPr>
            <w:r>
              <w:rPr>
                <w:sz w:val="28"/>
              </w:rPr>
              <w:t>Taoyuan Minnan</w:t>
            </w:r>
          </w:p>
          <w:p w14:paraId="689B8334" w14:textId="77777777" w:rsidR="00F33C03" w:rsidRDefault="00647E24">
            <w:pPr>
              <w:ind w:left="2"/>
            </w:pPr>
            <w:r>
              <w:rPr>
                <w:sz w:val="28"/>
              </w:rPr>
              <w:t>Kulturní festival</w:t>
            </w:r>
          </w:p>
        </w:tc>
        <w:tc>
          <w:tcPr>
            <w:tcW w:w="13156" w:type="dxa"/>
            <w:tcBorders>
              <w:top w:val="single" w:sz="8" w:space="0" w:color="000000"/>
              <w:left w:val="single" w:sz="8" w:space="0" w:color="000000"/>
              <w:bottom w:val="single" w:sz="8" w:space="0" w:color="000000"/>
              <w:right w:val="single" w:sz="8" w:space="0" w:color="000000"/>
            </w:tcBorders>
            <w:vAlign w:val="center"/>
          </w:tcPr>
          <w:p w14:paraId="310550DC" w14:textId="77777777" w:rsidR="00F33C03" w:rsidRDefault="00647E24">
            <w:pPr>
              <w:spacing w:after="6" w:line="261" w:lineRule="auto"/>
              <w:ind w:left="2" w:right="1"/>
              <w:jc w:val="both"/>
            </w:pPr>
            <w:r>
              <w:rPr>
                <w:sz w:val="28"/>
              </w:rPr>
              <w:t>Festival kultury Taoyuan Minnan spojuje řadu hlavních akcí, včetně průvodu Yige (průvod na alegorických vozech), Mezinárodního turnaje Dragon and Lion Dance, banketu šéfkuchaře (tradiční catering Ban-Doh), Mezinárodního fóra kultury Taoyuan Minnan a velkoformátového vystoupení Yi-Zhen (přehlídka tradičního folklorního uměleckého souboru).</w:t>
            </w:r>
          </w:p>
          <w:p w14:paraId="33FBE223" w14:textId="77777777" w:rsidR="00F33C03" w:rsidRDefault="00647E24">
            <w:pPr>
              <w:ind w:left="2"/>
              <w:jc w:val="both"/>
            </w:pPr>
            <w:r>
              <w:rPr>
                <w:sz w:val="28"/>
              </w:rPr>
              <w:t>Festival využívá Bakuaicuo Folk Art Village jako své hlavní místo k posílení spojení mezi minnanskou kulturou a místní komunitou. Tímto postupně buduje jedinečnou kulturní značku Taoyuanu, poskytuje účastníkům vysoce kvalitní kulturní služby, podporuje mezinárodní i místní kulturní výměnu a posiluje pocit rezidentní identity.</w:t>
            </w:r>
          </w:p>
        </w:tc>
        <w:tc>
          <w:tcPr>
            <w:tcW w:w="2962" w:type="dxa"/>
            <w:tcBorders>
              <w:top w:val="single" w:sz="8" w:space="0" w:color="000000"/>
              <w:left w:val="single" w:sz="8" w:space="0" w:color="000000"/>
              <w:bottom w:val="single" w:sz="8" w:space="0" w:color="000000"/>
              <w:right w:val="single" w:sz="8" w:space="0" w:color="000000"/>
            </w:tcBorders>
            <w:vAlign w:val="center"/>
          </w:tcPr>
          <w:p w14:paraId="611F26DD" w14:textId="77777777" w:rsidR="00F33C03" w:rsidRDefault="00647E24">
            <w:pPr>
              <w:ind w:left="2"/>
            </w:pPr>
            <w:r>
              <w:rPr>
                <w:rFonts w:ascii="Microsoft JhengHei UI" w:eastAsia="Microsoft JhengHei UI" w:hAnsi="Microsoft JhengHei UI" w:cs="Microsoft JhengHei UI"/>
                <w:sz w:val="28"/>
              </w:rPr>
              <w:t>「</w:t>
            </w:r>
            <w:r>
              <w:rPr>
                <w:sz w:val="28"/>
              </w:rPr>
              <w:t>2024 London Design</w:t>
            </w:r>
          </w:p>
          <w:p w14:paraId="0322D770" w14:textId="77777777" w:rsidR="00F33C03" w:rsidRDefault="00647E24">
            <w:pPr>
              <w:ind w:left="2"/>
              <w:jc w:val="both"/>
            </w:pPr>
            <w:r>
              <w:rPr>
                <w:sz w:val="28"/>
              </w:rPr>
              <w:t>Ocenění – Zlatá cena</w:t>
            </w:r>
            <w:r>
              <w:rPr>
                <w:rFonts w:ascii="Microsoft JhengHei UI" w:eastAsia="Microsoft JhengHei UI" w:hAnsi="Microsoft JhengHei UI" w:cs="Microsoft JhengHei UI"/>
                <w:sz w:val="28"/>
              </w:rPr>
              <w:t>」、</w:t>
            </w:r>
          </w:p>
          <w:p w14:paraId="6AAF8D6C" w14:textId="77777777" w:rsidR="00F33C03" w:rsidRDefault="00647E24">
            <w:pPr>
              <w:ind w:left="2"/>
            </w:pPr>
            <w:r>
              <w:rPr>
                <w:rFonts w:ascii="Microsoft JhengHei UI" w:eastAsia="Microsoft JhengHei UI" w:hAnsi="Microsoft JhengHei UI" w:cs="Microsoft JhengHei UI"/>
                <w:sz w:val="28"/>
              </w:rPr>
              <w:t>「</w:t>
            </w:r>
            <w:r>
              <w:rPr>
                <w:sz w:val="28"/>
              </w:rPr>
              <w:t>2024 IAA MUSE</w:t>
            </w:r>
          </w:p>
          <w:p w14:paraId="6BD148BE" w14:textId="77777777" w:rsidR="00F33C03" w:rsidRDefault="00647E24">
            <w:pPr>
              <w:ind w:left="2"/>
            </w:pPr>
            <w:r>
              <w:rPr>
                <w:sz w:val="28"/>
              </w:rPr>
              <w:t>Creative AwardsPlatinum MUSE</w:t>
            </w:r>
            <w:r>
              <w:rPr>
                <w:rFonts w:ascii="Microsoft JhengHei UI" w:eastAsia="Microsoft JhengHei UI" w:hAnsi="Microsoft JhengHei UI" w:cs="Microsoft JhengHei UI"/>
                <w:sz w:val="28"/>
              </w:rPr>
              <w:t>」</w:t>
            </w:r>
          </w:p>
        </w:tc>
      </w:tr>
      <w:tr w:rsidR="00F33C03" w14:paraId="45AE70DC" w14:textId="77777777">
        <w:trPr>
          <w:trHeight w:val="2516"/>
        </w:trPr>
        <w:tc>
          <w:tcPr>
            <w:tcW w:w="0" w:type="auto"/>
            <w:vMerge/>
            <w:tcBorders>
              <w:top w:val="nil"/>
              <w:left w:val="single" w:sz="8" w:space="0" w:color="000000"/>
              <w:bottom w:val="nil"/>
              <w:right w:val="single" w:sz="8" w:space="0" w:color="000000"/>
            </w:tcBorders>
          </w:tcPr>
          <w:p w14:paraId="0003BD83" w14:textId="77777777" w:rsidR="00F33C03" w:rsidRDefault="00F33C03"/>
        </w:tc>
        <w:tc>
          <w:tcPr>
            <w:tcW w:w="0" w:type="auto"/>
            <w:vMerge/>
            <w:tcBorders>
              <w:top w:val="nil"/>
              <w:left w:val="single" w:sz="8" w:space="0" w:color="000000"/>
              <w:bottom w:val="single" w:sz="8" w:space="0" w:color="000000"/>
              <w:right w:val="single" w:sz="8" w:space="0" w:color="000000"/>
            </w:tcBorders>
          </w:tcPr>
          <w:p w14:paraId="2A89FC32"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0A9CC716" w14:textId="77777777" w:rsidR="00F33C03" w:rsidRDefault="00647E24">
            <w:pPr>
              <w:ind w:left="2"/>
              <w:jc w:val="both"/>
            </w:pPr>
            <w:r>
              <w:rPr>
                <w:sz w:val="28"/>
              </w:rPr>
              <w:t>Městský společník Taoyuan</w:t>
            </w:r>
          </w:p>
          <w:p w14:paraId="3B8E4BC8" w14:textId="77777777" w:rsidR="00F33C03" w:rsidRDefault="00647E24">
            <w:pPr>
              <w:ind w:left="2"/>
            </w:pPr>
            <w:r>
              <w:rPr>
                <w:sz w:val="28"/>
              </w:rPr>
              <w:t>Původní obyvatelé</w:t>
            </w:r>
          </w:p>
          <w:p w14:paraId="5CFDFD00" w14:textId="77777777" w:rsidR="00F33C03" w:rsidRDefault="00647E24">
            <w:pPr>
              <w:ind w:left="2"/>
            </w:pPr>
            <w:r>
              <w:rPr>
                <w:sz w:val="28"/>
              </w:rPr>
              <w:t>Sklizňový festival</w:t>
            </w:r>
          </w:p>
        </w:tc>
        <w:tc>
          <w:tcPr>
            <w:tcW w:w="13156" w:type="dxa"/>
            <w:tcBorders>
              <w:top w:val="single" w:sz="8" w:space="0" w:color="000000"/>
              <w:left w:val="single" w:sz="8" w:space="0" w:color="000000"/>
              <w:bottom w:val="single" w:sz="8" w:space="0" w:color="000000"/>
              <w:right w:val="single" w:sz="8" w:space="0" w:color="000000"/>
            </w:tcBorders>
            <w:vAlign w:val="center"/>
          </w:tcPr>
          <w:p w14:paraId="16DFDA25" w14:textId="77777777" w:rsidR="00F33C03" w:rsidRDefault="00647E24">
            <w:pPr>
              <w:spacing w:after="19" w:line="252" w:lineRule="auto"/>
              <w:ind w:left="2"/>
              <w:jc w:val="both"/>
            </w:pPr>
            <w:r>
              <w:rPr>
                <w:sz w:val="28"/>
              </w:rPr>
              <w:t>Taoyuan je město mezi šesti speciálními obcemi Tchaj-wanu s největší domorodou populací a pyšní se rozmanitým rozložením etnických skupin.</w:t>
            </w:r>
          </w:p>
          <w:p w14:paraId="24C07B8F" w14:textId="77777777" w:rsidR="00F33C03" w:rsidRDefault="00647E24">
            <w:pPr>
              <w:ind w:left="2" w:right="1"/>
              <w:jc w:val="both"/>
            </w:pPr>
            <w:r>
              <w:rPr>
                <w:sz w:val="28"/>
              </w:rPr>
              <w:t>Prostřednictvím každoročního Společného festivalu sklizně (United Ho-Nien Festival) je v Taoyuanu dovoleno zakořenit se domorodé kultuře. Lidé všech věkových kategorií a pohlaví spolupracují s plným nasazením, aby zajistili předávání svého dědictví. Navíc účast více etnických skupin umožňuje domorodé kultuře Taoyuanu neustále rozvíjet a růst</w:t>
            </w:r>
          </w:p>
        </w:tc>
        <w:tc>
          <w:tcPr>
            <w:tcW w:w="2962" w:type="dxa"/>
            <w:tcBorders>
              <w:top w:val="single" w:sz="8" w:space="0" w:color="000000"/>
              <w:left w:val="single" w:sz="8" w:space="0" w:color="000000"/>
              <w:bottom w:val="single" w:sz="8" w:space="0" w:color="000000"/>
              <w:right w:val="single" w:sz="8" w:space="0" w:color="000000"/>
            </w:tcBorders>
            <w:vAlign w:val="center"/>
          </w:tcPr>
          <w:p w14:paraId="0750E6AF" w14:textId="77777777" w:rsidR="00F33C03" w:rsidRDefault="00647E24">
            <w:pPr>
              <w:ind w:left="2"/>
            </w:pPr>
            <w:r>
              <w:rPr>
                <w:rFonts w:ascii="Microsoft JhengHei UI" w:eastAsia="Microsoft JhengHei UI" w:hAnsi="Microsoft JhengHei UI" w:cs="Microsoft JhengHei UI"/>
                <w:sz w:val="28"/>
              </w:rPr>
              <w:t>「</w:t>
            </w:r>
            <w:r>
              <w:rPr>
                <w:sz w:val="28"/>
              </w:rPr>
              <w:t>2025 IAA MUSE Creative - Zlaté ceny</w:t>
            </w:r>
            <w:r>
              <w:rPr>
                <w:rFonts w:ascii="Microsoft JhengHei UI" w:eastAsia="Microsoft JhengHei UI" w:hAnsi="Microsoft JhengHei UI" w:cs="Microsoft JhengHei UI"/>
                <w:sz w:val="28"/>
              </w:rPr>
              <w:t>」</w:t>
            </w:r>
          </w:p>
        </w:tc>
      </w:tr>
      <w:tr w:rsidR="00F33C03" w14:paraId="0B196774" w14:textId="77777777">
        <w:trPr>
          <w:trHeight w:val="1685"/>
        </w:trPr>
        <w:tc>
          <w:tcPr>
            <w:tcW w:w="0" w:type="auto"/>
            <w:vMerge/>
            <w:tcBorders>
              <w:top w:val="nil"/>
              <w:left w:val="single" w:sz="8" w:space="0" w:color="000000"/>
              <w:bottom w:val="nil"/>
              <w:right w:val="single" w:sz="8" w:space="0" w:color="000000"/>
            </w:tcBorders>
          </w:tcPr>
          <w:p w14:paraId="502C84FB" w14:textId="77777777" w:rsidR="00F33C03" w:rsidRDefault="00F33C03"/>
        </w:tc>
        <w:tc>
          <w:tcPr>
            <w:tcW w:w="1798" w:type="dxa"/>
            <w:vMerge w:val="restart"/>
            <w:tcBorders>
              <w:top w:val="single" w:sz="8" w:space="0" w:color="000000"/>
              <w:left w:val="single" w:sz="8" w:space="0" w:color="000000"/>
              <w:bottom w:val="single" w:sz="8" w:space="0" w:color="000000"/>
              <w:right w:val="single" w:sz="8" w:space="0" w:color="000000"/>
            </w:tcBorders>
            <w:vAlign w:val="center"/>
          </w:tcPr>
          <w:p w14:paraId="56F681F3" w14:textId="77777777" w:rsidR="00F33C03" w:rsidRDefault="00647E24">
            <w:pPr>
              <w:ind w:left="2" w:right="49"/>
            </w:pPr>
            <w:r>
              <w:rPr>
                <w:sz w:val="28"/>
              </w:rPr>
              <w:t>Úvod do vybraných míst</w:t>
            </w:r>
          </w:p>
        </w:tc>
        <w:tc>
          <w:tcPr>
            <w:tcW w:w="2208" w:type="dxa"/>
            <w:tcBorders>
              <w:top w:val="single" w:sz="8" w:space="0" w:color="000000"/>
              <w:left w:val="single" w:sz="8" w:space="0" w:color="000000"/>
              <w:bottom w:val="single" w:sz="8" w:space="0" w:color="000000"/>
              <w:right w:val="single" w:sz="8" w:space="0" w:color="000000"/>
            </w:tcBorders>
            <w:vAlign w:val="center"/>
          </w:tcPr>
          <w:p w14:paraId="49E42F47" w14:textId="77777777" w:rsidR="00F33C03" w:rsidRDefault="00647E24">
            <w:pPr>
              <w:ind w:left="2"/>
            </w:pPr>
            <w:r>
              <w:rPr>
                <w:sz w:val="28"/>
              </w:rPr>
              <w:t>Hengshan</w:t>
            </w:r>
          </w:p>
          <w:p w14:paraId="51F69520" w14:textId="77777777" w:rsidR="00F33C03" w:rsidRDefault="00647E24">
            <w:pPr>
              <w:ind w:left="2"/>
            </w:pPr>
            <w:r>
              <w:rPr>
                <w:sz w:val="28"/>
              </w:rPr>
              <w:t>Kaligrafické umění</w:t>
            </w:r>
          </w:p>
          <w:p w14:paraId="7BC3E0C3" w14:textId="77777777" w:rsidR="00F33C03" w:rsidRDefault="00647E24">
            <w:pPr>
              <w:ind w:left="2"/>
            </w:pPr>
            <w:r>
              <w:rPr>
                <w:sz w:val="28"/>
              </w:rPr>
              <w:t>Střed</w:t>
            </w:r>
          </w:p>
        </w:tc>
        <w:tc>
          <w:tcPr>
            <w:tcW w:w="13156" w:type="dxa"/>
            <w:tcBorders>
              <w:top w:val="single" w:sz="8" w:space="0" w:color="000000"/>
              <w:left w:val="single" w:sz="8" w:space="0" w:color="000000"/>
              <w:bottom w:val="single" w:sz="8" w:space="0" w:color="000000"/>
              <w:right w:val="single" w:sz="8" w:space="0" w:color="000000"/>
            </w:tcBorders>
            <w:vAlign w:val="center"/>
          </w:tcPr>
          <w:p w14:paraId="24928783" w14:textId="77777777" w:rsidR="00F33C03" w:rsidRDefault="00647E24">
            <w:pPr>
              <w:spacing w:after="19" w:line="252" w:lineRule="auto"/>
              <w:ind w:left="2"/>
              <w:jc w:val="both"/>
            </w:pPr>
            <w:r>
              <w:rPr>
                <w:sz w:val="28"/>
              </w:rPr>
              <w:t>Jako první oficiálně provozované muzeum s kaligrafickou tematikou na Tchaj-wanu má tato instituce za úkol podporovat zachování, výzkum, rozvoj a popularizaci kaligrafického umění.</w:t>
            </w:r>
          </w:p>
          <w:p w14:paraId="24656B02" w14:textId="77777777" w:rsidR="00F33C03" w:rsidRDefault="00647E24">
            <w:pPr>
              <w:ind w:left="2"/>
              <w:jc w:val="both"/>
            </w:pPr>
            <w:r>
              <w:rPr>
                <w:sz w:val="28"/>
              </w:rPr>
              <w:t>Muzeum usiluje o to, aby kaligrafické umění v Taoyuanu mohlo rozkvétat, aby mohlo plně vyzařovat svou uměleckou energii, která je bohatá na kulturní identitu a jedinečnost.</w:t>
            </w:r>
          </w:p>
        </w:tc>
        <w:tc>
          <w:tcPr>
            <w:tcW w:w="2962" w:type="dxa"/>
            <w:tcBorders>
              <w:top w:val="single" w:sz="8" w:space="0" w:color="000000"/>
              <w:left w:val="single" w:sz="8" w:space="0" w:color="000000"/>
              <w:bottom w:val="single" w:sz="8" w:space="0" w:color="000000"/>
              <w:right w:val="single" w:sz="8" w:space="0" w:color="000000"/>
            </w:tcBorders>
            <w:vAlign w:val="center"/>
          </w:tcPr>
          <w:p w14:paraId="61C6EAF7" w14:textId="77777777" w:rsidR="00F33C03" w:rsidRDefault="00647E24">
            <w:pPr>
              <w:ind w:left="2"/>
            </w:pPr>
            <w:r>
              <w:rPr>
                <w:sz w:val="28"/>
              </w:rPr>
              <w:t>2022 Taiwan Residential</w:t>
            </w:r>
          </w:p>
          <w:p w14:paraId="2730EB43" w14:textId="77777777" w:rsidR="00F33C03" w:rsidRDefault="00647E24">
            <w:pPr>
              <w:ind w:left="2"/>
              <w:jc w:val="both"/>
            </w:pPr>
            <w:r>
              <w:rPr>
                <w:sz w:val="28"/>
              </w:rPr>
              <w:t>Architektonická cena – zlatá</w:t>
            </w:r>
          </w:p>
          <w:p w14:paraId="1ABE218A" w14:textId="77777777" w:rsidR="00F33C03" w:rsidRDefault="00647E24">
            <w:pPr>
              <w:ind w:left="2"/>
            </w:pPr>
            <w:r>
              <w:rPr>
                <w:sz w:val="28"/>
              </w:rPr>
              <w:t>Ocenění</w:t>
            </w:r>
          </w:p>
        </w:tc>
      </w:tr>
      <w:tr w:rsidR="00F33C03" w14:paraId="72B26705" w14:textId="77777777">
        <w:trPr>
          <w:trHeight w:val="2559"/>
        </w:trPr>
        <w:tc>
          <w:tcPr>
            <w:tcW w:w="0" w:type="auto"/>
            <w:vMerge/>
            <w:tcBorders>
              <w:top w:val="nil"/>
              <w:left w:val="single" w:sz="8" w:space="0" w:color="000000"/>
              <w:bottom w:val="nil"/>
              <w:right w:val="single" w:sz="8" w:space="0" w:color="000000"/>
            </w:tcBorders>
          </w:tcPr>
          <w:p w14:paraId="68A28915" w14:textId="77777777" w:rsidR="00F33C03" w:rsidRDefault="00F33C03"/>
        </w:tc>
        <w:tc>
          <w:tcPr>
            <w:tcW w:w="0" w:type="auto"/>
            <w:vMerge/>
            <w:tcBorders>
              <w:top w:val="nil"/>
              <w:left w:val="single" w:sz="8" w:space="0" w:color="000000"/>
              <w:bottom w:val="nil"/>
              <w:right w:val="single" w:sz="8" w:space="0" w:color="000000"/>
            </w:tcBorders>
          </w:tcPr>
          <w:p w14:paraId="3E71D075"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2F56EC93" w14:textId="77777777" w:rsidR="00F33C03" w:rsidRDefault="00647E24">
            <w:pPr>
              <w:ind w:left="2"/>
            </w:pPr>
            <w:r>
              <w:rPr>
                <w:sz w:val="28"/>
              </w:rPr>
              <w:t>Taoyuan</w:t>
            </w:r>
          </w:p>
          <w:p w14:paraId="34BE959A" w14:textId="77777777" w:rsidR="00F33C03" w:rsidRDefault="00647E24">
            <w:pPr>
              <w:ind w:left="2"/>
            </w:pPr>
            <w:r>
              <w:rPr>
                <w:sz w:val="28"/>
              </w:rPr>
              <w:t>Dětské umění</w:t>
            </w:r>
          </w:p>
          <w:p w14:paraId="0E7DF264" w14:textId="77777777" w:rsidR="00F33C03" w:rsidRDefault="00647E24">
            <w:pPr>
              <w:ind w:left="2"/>
            </w:pPr>
            <w:r>
              <w:rPr>
                <w:sz w:val="28"/>
              </w:rPr>
              <w:t>Střed</w:t>
            </w:r>
          </w:p>
        </w:tc>
        <w:tc>
          <w:tcPr>
            <w:tcW w:w="13156" w:type="dxa"/>
            <w:tcBorders>
              <w:top w:val="single" w:sz="8" w:space="0" w:color="000000"/>
              <w:left w:val="single" w:sz="8" w:space="0" w:color="000000"/>
              <w:bottom w:val="single" w:sz="8" w:space="0" w:color="000000"/>
              <w:right w:val="single" w:sz="8" w:space="0" w:color="000000"/>
            </w:tcBorders>
            <w:vAlign w:val="center"/>
          </w:tcPr>
          <w:p w14:paraId="10C897B6" w14:textId="77777777" w:rsidR="00F33C03" w:rsidRDefault="00647E24">
            <w:pPr>
              <w:spacing w:after="19" w:line="252" w:lineRule="auto"/>
              <w:ind w:left="2"/>
              <w:jc w:val="both"/>
            </w:pPr>
            <w:r>
              <w:rPr>
                <w:sz w:val="28"/>
              </w:rPr>
              <w:t>Dětské umělecké muzeum Taoyuan se nachází v okrese Zhongli, město Taoyuan. Je založena na konceptu "Hravé výstavní prostory a krajinářská architektura."</w:t>
            </w:r>
          </w:p>
          <w:p w14:paraId="7A70C920" w14:textId="77777777" w:rsidR="00F33C03" w:rsidRDefault="00647E24">
            <w:pPr>
              <w:ind w:left="2" w:right="1"/>
              <w:jc w:val="both"/>
            </w:pPr>
            <w:r>
              <w:rPr>
                <w:sz w:val="28"/>
              </w:rPr>
              <w:t>Muzeum má trojúhelníkovou hlavní stavbu s bílým podstavcem, doplněnou velkými skleněnými plochami, které umožňují pronikání přirozeného světla. Začleněním venkovní přírodní scenérie do muzea vytváří jedinečné "Hillside Museum", které tvoří výraznou uměleckou krajinu složenou z vodních scenérií, zeleně a uměleckých prvků.</w:t>
            </w:r>
          </w:p>
        </w:tc>
        <w:tc>
          <w:tcPr>
            <w:tcW w:w="2962" w:type="dxa"/>
            <w:tcBorders>
              <w:top w:val="single" w:sz="8" w:space="0" w:color="000000"/>
              <w:left w:val="single" w:sz="8" w:space="0" w:color="000000"/>
              <w:bottom w:val="single" w:sz="8" w:space="0" w:color="000000"/>
              <w:right w:val="single" w:sz="8" w:space="0" w:color="000000"/>
            </w:tcBorders>
          </w:tcPr>
          <w:p w14:paraId="53E0D0AD" w14:textId="77777777" w:rsidR="00F33C03" w:rsidRDefault="00F33C03"/>
        </w:tc>
      </w:tr>
      <w:tr w:rsidR="00F33C03" w14:paraId="3BA3790A" w14:textId="77777777">
        <w:trPr>
          <w:trHeight w:val="2021"/>
        </w:trPr>
        <w:tc>
          <w:tcPr>
            <w:tcW w:w="0" w:type="auto"/>
            <w:vMerge/>
            <w:tcBorders>
              <w:top w:val="nil"/>
              <w:left w:val="single" w:sz="8" w:space="0" w:color="000000"/>
              <w:bottom w:val="single" w:sz="8" w:space="0" w:color="000000"/>
              <w:right w:val="single" w:sz="8" w:space="0" w:color="000000"/>
            </w:tcBorders>
          </w:tcPr>
          <w:p w14:paraId="4127136B" w14:textId="77777777" w:rsidR="00F33C03" w:rsidRDefault="00F33C03"/>
        </w:tc>
        <w:tc>
          <w:tcPr>
            <w:tcW w:w="0" w:type="auto"/>
            <w:vMerge/>
            <w:tcBorders>
              <w:top w:val="nil"/>
              <w:left w:val="single" w:sz="8" w:space="0" w:color="000000"/>
              <w:bottom w:val="single" w:sz="8" w:space="0" w:color="000000"/>
              <w:right w:val="single" w:sz="8" w:space="0" w:color="000000"/>
            </w:tcBorders>
          </w:tcPr>
          <w:p w14:paraId="1320B93B"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696EB93D" w14:textId="77777777" w:rsidR="00F33C03" w:rsidRDefault="00647E24">
            <w:pPr>
              <w:ind w:left="2"/>
            </w:pPr>
            <w:r>
              <w:rPr>
                <w:sz w:val="28"/>
              </w:rPr>
              <w:t>Veřejná knihovna Taoyuan</w:t>
            </w:r>
          </w:p>
        </w:tc>
        <w:tc>
          <w:tcPr>
            <w:tcW w:w="13156" w:type="dxa"/>
            <w:tcBorders>
              <w:top w:val="single" w:sz="8" w:space="0" w:color="000000"/>
              <w:left w:val="single" w:sz="8" w:space="0" w:color="000000"/>
              <w:bottom w:val="single" w:sz="8" w:space="0" w:color="000000"/>
              <w:right w:val="single" w:sz="8" w:space="0" w:color="000000"/>
            </w:tcBorders>
            <w:vAlign w:val="center"/>
          </w:tcPr>
          <w:p w14:paraId="57C54AD3" w14:textId="77777777" w:rsidR="00F33C03" w:rsidRDefault="00647E24">
            <w:pPr>
              <w:spacing w:after="19" w:line="252" w:lineRule="auto"/>
              <w:ind w:left="2"/>
              <w:jc w:val="both"/>
            </w:pPr>
            <w:r>
              <w:rPr>
                <w:sz w:val="28"/>
              </w:rPr>
              <w:t>Hlavní veřejná knihovna Taoyuan byla navržena s inspirací "Stromu života". Je to první knihovna na Tchaj-wanu, která je integrována s kinem, a nabízí pohlcující zážitek spojující umění, kulturu a čtení.</w:t>
            </w:r>
          </w:p>
          <w:p w14:paraId="46D46F8C" w14:textId="77777777" w:rsidR="00F33C03" w:rsidRDefault="00647E24">
            <w:pPr>
              <w:ind w:left="2"/>
              <w:jc w:val="both"/>
            </w:pPr>
            <w:r>
              <w:rPr>
                <w:sz w:val="28"/>
              </w:rPr>
              <w:t>Založením konceptu městské čtenářské značky slouží Hlavní knihovna jako kulturní a kreativní vlajková základna pro Taoyuan.</w:t>
            </w:r>
          </w:p>
        </w:tc>
        <w:tc>
          <w:tcPr>
            <w:tcW w:w="2962" w:type="dxa"/>
            <w:tcBorders>
              <w:top w:val="single" w:sz="8" w:space="0" w:color="000000"/>
              <w:left w:val="single" w:sz="8" w:space="0" w:color="000000"/>
              <w:bottom w:val="single" w:sz="8" w:space="0" w:color="000000"/>
              <w:right w:val="single" w:sz="8" w:space="0" w:color="000000"/>
            </w:tcBorders>
            <w:vAlign w:val="center"/>
          </w:tcPr>
          <w:p w14:paraId="5EC8211A" w14:textId="77777777" w:rsidR="00F33C03" w:rsidRDefault="00647E24">
            <w:pPr>
              <w:ind w:left="2"/>
            </w:pPr>
            <w:r>
              <w:rPr>
                <w:sz w:val="28"/>
              </w:rPr>
              <w:t>22. národní závod</w:t>
            </w:r>
          </w:p>
          <w:p w14:paraId="3EAADB15" w14:textId="77777777" w:rsidR="00F33C03" w:rsidRDefault="00647E24">
            <w:pPr>
              <w:ind w:left="2"/>
              <w:jc w:val="both"/>
            </w:pPr>
            <w:r>
              <w:rPr>
                <w:sz w:val="28"/>
              </w:rPr>
              <w:t>Zlatá cena za architekturu</w:t>
            </w:r>
          </w:p>
        </w:tc>
      </w:tr>
      <w:tr w:rsidR="00F33C03" w14:paraId="5A4BB45D" w14:textId="77777777">
        <w:trPr>
          <w:trHeight w:val="524"/>
        </w:trPr>
        <w:tc>
          <w:tcPr>
            <w:tcW w:w="21477" w:type="dxa"/>
            <w:gridSpan w:val="5"/>
            <w:tcBorders>
              <w:top w:val="single" w:sz="8" w:space="0" w:color="000000"/>
              <w:left w:val="single" w:sz="8" w:space="0" w:color="000000"/>
              <w:bottom w:val="single" w:sz="8" w:space="0" w:color="000000"/>
              <w:right w:val="single" w:sz="8" w:space="0" w:color="000000"/>
            </w:tcBorders>
            <w:shd w:val="clear" w:color="auto" w:fill="B7B7B7"/>
          </w:tcPr>
          <w:p w14:paraId="09674842" w14:textId="77777777" w:rsidR="00F33C03" w:rsidRDefault="00647E24">
            <w:r>
              <w:rPr>
                <w:sz w:val="28"/>
              </w:rPr>
              <w:t>Mládežnická politika</w:t>
            </w:r>
          </w:p>
        </w:tc>
      </w:tr>
      <w:tr w:rsidR="00F33C03" w14:paraId="1BB83ADC" w14:textId="77777777">
        <w:trPr>
          <w:trHeight w:val="492"/>
        </w:trPr>
        <w:tc>
          <w:tcPr>
            <w:tcW w:w="1354" w:type="dxa"/>
            <w:tcBorders>
              <w:top w:val="single" w:sz="8" w:space="0" w:color="000000"/>
              <w:left w:val="single" w:sz="8" w:space="0" w:color="000000"/>
              <w:bottom w:val="single" w:sz="8" w:space="0" w:color="000000"/>
              <w:right w:val="single" w:sz="8" w:space="0" w:color="000000"/>
            </w:tcBorders>
            <w:shd w:val="clear" w:color="auto" w:fill="CCCCCC"/>
          </w:tcPr>
          <w:p w14:paraId="255329F4" w14:textId="77777777" w:rsidR="00F33C03" w:rsidRDefault="00647E24">
            <w:r>
              <w:rPr>
                <w:sz w:val="28"/>
              </w:rPr>
              <w:lastRenderedPageBreak/>
              <w:t>Kategorie</w:t>
            </w:r>
          </w:p>
        </w:tc>
        <w:tc>
          <w:tcPr>
            <w:tcW w:w="20123" w:type="dxa"/>
            <w:gridSpan w:val="4"/>
            <w:tcBorders>
              <w:top w:val="single" w:sz="8" w:space="0" w:color="000000"/>
              <w:left w:val="single" w:sz="8" w:space="0" w:color="000000"/>
              <w:bottom w:val="single" w:sz="8" w:space="0" w:color="000000"/>
              <w:right w:val="single" w:sz="8" w:space="0" w:color="000000"/>
            </w:tcBorders>
            <w:shd w:val="clear" w:color="auto" w:fill="CCCCCC"/>
          </w:tcPr>
          <w:p w14:paraId="027D4B23" w14:textId="77777777" w:rsidR="00F33C03" w:rsidRDefault="00647E24">
            <w:pPr>
              <w:ind w:left="2"/>
            </w:pPr>
            <w:r>
              <w:rPr>
                <w:sz w:val="28"/>
              </w:rPr>
              <w:t>Klíčové politiky a významné momenty ocenění</w:t>
            </w:r>
          </w:p>
        </w:tc>
      </w:tr>
    </w:tbl>
    <w:p w14:paraId="05B6C5CC" w14:textId="77777777" w:rsidR="00F33C03" w:rsidRDefault="00F33C03">
      <w:pPr>
        <w:spacing w:after="0"/>
        <w:ind w:left="-1440" w:right="22368"/>
      </w:pPr>
    </w:p>
    <w:tbl>
      <w:tblPr>
        <w:tblStyle w:val="TableGrid"/>
        <w:tblW w:w="21480" w:type="dxa"/>
        <w:tblInd w:w="-286" w:type="dxa"/>
        <w:tblCellMar>
          <w:top w:w="65" w:type="dxa"/>
          <w:left w:w="46" w:type="dxa"/>
          <w:bottom w:w="13" w:type="dxa"/>
          <w:right w:w="37" w:type="dxa"/>
        </w:tblCellMar>
        <w:tblLook w:val="04A0" w:firstRow="1" w:lastRow="0" w:firstColumn="1" w:lastColumn="0" w:noHBand="0" w:noVBand="1"/>
      </w:tblPr>
      <w:tblGrid>
        <w:gridCol w:w="1356"/>
        <w:gridCol w:w="1798"/>
        <w:gridCol w:w="2208"/>
        <w:gridCol w:w="16118"/>
      </w:tblGrid>
      <w:tr w:rsidR="00F33C03" w14:paraId="6F8BB583" w14:textId="77777777">
        <w:trPr>
          <w:trHeight w:val="6035"/>
        </w:trPr>
        <w:tc>
          <w:tcPr>
            <w:tcW w:w="1356" w:type="dxa"/>
            <w:vMerge w:val="restart"/>
            <w:tcBorders>
              <w:top w:val="single" w:sz="8" w:space="0" w:color="000000"/>
              <w:left w:val="single" w:sz="8" w:space="0" w:color="000000"/>
              <w:bottom w:val="single" w:sz="8" w:space="0" w:color="000000"/>
              <w:right w:val="single" w:sz="8" w:space="0" w:color="000000"/>
            </w:tcBorders>
          </w:tcPr>
          <w:p w14:paraId="4FCECC3F" w14:textId="77777777" w:rsidR="00F33C03" w:rsidRDefault="00647E24">
            <w:r>
              <w:rPr>
                <w:sz w:val="28"/>
              </w:rPr>
              <w:t>Mládí</w:t>
            </w:r>
          </w:p>
          <w:p w14:paraId="4B7E5C03" w14:textId="77777777" w:rsidR="00F33C03" w:rsidRDefault="00647E24">
            <w:r>
              <w:rPr>
                <w:sz w:val="28"/>
              </w:rPr>
              <w:t>Politika</w:t>
            </w:r>
          </w:p>
        </w:tc>
        <w:tc>
          <w:tcPr>
            <w:tcW w:w="20123" w:type="dxa"/>
            <w:gridSpan w:val="3"/>
            <w:tcBorders>
              <w:top w:val="single" w:sz="8" w:space="0" w:color="000000"/>
              <w:left w:val="single" w:sz="8" w:space="0" w:color="000000"/>
              <w:bottom w:val="single" w:sz="8" w:space="0" w:color="000000"/>
              <w:right w:val="single" w:sz="8" w:space="0" w:color="000000"/>
            </w:tcBorders>
            <w:vAlign w:val="center"/>
          </w:tcPr>
          <w:p w14:paraId="499CB1BC" w14:textId="77777777" w:rsidR="00F33C03" w:rsidRDefault="00647E24">
            <w:pPr>
              <w:ind w:right="1"/>
              <w:jc w:val="both"/>
            </w:pPr>
            <w:r>
              <w:rPr>
                <w:sz w:val="28"/>
              </w:rPr>
              <w:t>V souladu s politickým směrem města Taoyuan město podporuje zaměstnanost mládeže, podnikání a účast na komunitních a občanských aktivitách. Integrací zdrojů z veřejného i soukromého sektoru a využitím místních průmyslových sil. Taoyuan řeší výzvy vyplývající ze změn životního prostředí, podporuje samostudium a praktické dovednosti a dále podporuje podnikání mládeže a rozvoj inovativních odvětví.</w:t>
            </w:r>
          </w:p>
          <w:p w14:paraId="1B5B608D" w14:textId="77777777" w:rsidR="00F33C03" w:rsidRDefault="00647E24">
            <w:pPr>
              <w:spacing w:after="8"/>
            </w:pPr>
            <w:r>
              <w:rPr>
                <w:sz w:val="28"/>
              </w:rPr>
              <w:t>1. Podpora podnikání mládeže</w:t>
            </w:r>
          </w:p>
          <w:p w14:paraId="1B93C03D" w14:textId="77777777" w:rsidR="00F33C03" w:rsidRDefault="00647E24">
            <w:pPr>
              <w:numPr>
                <w:ilvl w:val="0"/>
                <w:numId w:val="5"/>
              </w:numPr>
              <w:spacing w:after="18" w:line="252" w:lineRule="auto"/>
              <w:jc w:val="both"/>
            </w:pPr>
            <w:r>
              <w:rPr>
                <w:sz w:val="28"/>
              </w:rPr>
              <w:t>Centrum zdrojů pro mládežnické podnikání: Komplexní servisní centrum pro podnikatele v Taoyuanu. Začínající podnikatelé mají přímý přístup k nezbytným informacím a radám týkajícím se podpory startupů.</w:t>
            </w:r>
          </w:p>
          <w:p w14:paraId="0E42B4C9" w14:textId="77777777" w:rsidR="00F33C03" w:rsidRDefault="00647E24">
            <w:pPr>
              <w:numPr>
                <w:ilvl w:val="0"/>
                <w:numId w:val="5"/>
              </w:numPr>
              <w:spacing w:after="19" w:line="252" w:lineRule="auto"/>
              <w:jc w:val="both"/>
            </w:pPr>
            <w:r>
              <w:rPr>
                <w:sz w:val="28"/>
              </w:rPr>
              <w:t>T.Select E-Commerce Base: Tato základna pomáhá místním startupovým týmům rozvíjet schopnosti v oblasti e-commerce a zlepšovat digitální dovednosti. Poskytuje praktické vzdělávací programy v oblasti e-commerce a propagační kurzy pro rozvoj specializovaných talentů v oblasti e-commerce.</w:t>
            </w:r>
          </w:p>
          <w:p w14:paraId="301E4795" w14:textId="77777777" w:rsidR="00F33C03" w:rsidRDefault="00647E24">
            <w:pPr>
              <w:numPr>
                <w:ilvl w:val="0"/>
                <w:numId w:val="5"/>
              </w:numPr>
              <w:jc w:val="both"/>
            </w:pPr>
            <w:r>
              <w:rPr>
                <w:sz w:val="28"/>
              </w:rPr>
              <w:t>Youth Startup Command Center: Command Center nabízí dostupné kancelářské a coworkingové prostory, silné mentoringové zdroje, přizpůsobené koučovací mechanismy a podporu pro zdokonalování obchodních modelů. Nabízí také příležitosti k propojení s domácími i mezinárodními investicemi a trhy. Nové týmy jsou každoročně náborovány a centrum poskytuje služby registrace společností. Způsobilé týmy mohou v centru pobývat až tři roky.</w:t>
            </w:r>
          </w:p>
          <w:p w14:paraId="14ACDA53" w14:textId="77777777" w:rsidR="00F33C03" w:rsidRDefault="00647E24">
            <w:pPr>
              <w:spacing w:after="8"/>
            </w:pPr>
            <w:r>
              <w:rPr>
                <w:sz w:val="28"/>
              </w:rPr>
              <w:t>2. Pomoc při zaměstnání, rozvoj kariéry a rozvoj talentů</w:t>
            </w:r>
          </w:p>
          <w:p w14:paraId="464068A9" w14:textId="77777777" w:rsidR="00F33C03" w:rsidRDefault="00647E24">
            <w:pPr>
              <w:numPr>
                <w:ilvl w:val="0"/>
                <w:numId w:val="6"/>
              </w:numPr>
              <w:spacing w:line="252" w:lineRule="auto"/>
            </w:pPr>
            <w:r>
              <w:rPr>
                <w:sz w:val="28"/>
              </w:rPr>
              <w:t>Rozvoj kariéry a pracovní zkušenosti: Taoyuan aktivně podporuje talenty pro vznikající odvětví nabídkou kurzů kariérního rozvoje, programů pracovních zkušeností a aktivit zaměřených na kariérní průzkum. Tento systematický přístup si klade za cíl vytvořit prostředí přátelské k mladým pro inovace a podnikání.</w:t>
            </w:r>
          </w:p>
          <w:p w14:paraId="2FFBF250" w14:textId="77777777" w:rsidR="00F33C03" w:rsidRDefault="00647E24">
            <w:pPr>
              <w:numPr>
                <w:ilvl w:val="0"/>
                <w:numId w:val="6"/>
              </w:numPr>
            </w:pPr>
            <w:r>
              <w:rPr>
                <w:sz w:val="28"/>
              </w:rPr>
              <w:t>Dotace: Město poskytuje dotace speciálně na rozvoj kariéry mládeže a iniciativy v oblasti podnikání.</w:t>
            </w:r>
          </w:p>
        </w:tc>
      </w:tr>
      <w:tr w:rsidR="00F33C03" w14:paraId="114A157D" w14:textId="77777777">
        <w:trPr>
          <w:trHeight w:val="494"/>
        </w:trPr>
        <w:tc>
          <w:tcPr>
            <w:tcW w:w="0" w:type="auto"/>
            <w:vMerge/>
            <w:tcBorders>
              <w:top w:val="nil"/>
              <w:left w:val="single" w:sz="8" w:space="0" w:color="000000"/>
              <w:bottom w:val="nil"/>
              <w:right w:val="single" w:sz="8" w:space="0" w:color="000000"/>
            </w:tcBorders>
          </w:tcPr>
          <w:p w14:paraId="5DBF433F" w14:textId="77777777" w:rsidR="00F33C03" w:rsidRDefault="00F33C03"/>
        </w:tc>
        <w:tc>
          <w:tcPr>
            <w:tcW w:w="1798" w:type="dxa"/>
            <w:tcBorders>
              <w:top w:val="single" w:sz="8" w:space="0" w:color="000000"/>
              <w:left w:val="single" w:sz="8" w:space="0" w:color="000000"/>
              <w:bottom w:val="single" w:sz="8" w:space="0" w:color="000000"/>
              <w:right w:val="single" w:sz="8" w:space="0" w:color="000000"/>
            </w:tcBorders>
            <w:shd w:val="clear" w:color="auto" w:fill="B7B7B7"/>
          </w:tcPr>
          <w:p w14:paraId="0D83AE04"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shd w:val="clear" w:color="auto" w:fill="B7B7B7"/>
            <w:vAlign w:val="bottom"/>
          </w:tcPr>
          <w:p w14:paraId="0FB79909" w14:textId="77777777" w:rsidR="00F33C03" w:rsidRDefault="00647E24">
            <w:r>
              <w:rPr>
                <w:sz w:val="28"/>
              </w:rPr>
              <w:t>Klíčové politiky</w:t>
            </w:r>
          </w:p>
        </w:tc>
        <w:tc>
          <w:tcPr>
            <w:tcW w:w="16118" w:type="dxa"/>
            <w:tcBorders>
              <w:top w:val="single" w:sz="8" w:space="0" w:color="000000"/>
              <w:left w:val="single" w:sz="8" w:space="0" w:color="000000"/>
              <w:bottom w:val="single" w:sz="8" w:space="0" w:color="000000"/>
              <w:right w:val="single" w:sz="8" w:space="0" w:color="000000"/>
            </w:tcBorders>
            <w:shd w:val="clear" w:color="auto" w:fill="B7B7B7"/>
            <w:vAlign w:val="bottom"/>
          </w:tcPr>
          <w:p w14:paraId="1176AFFC" w14:textId="77777777" w:rsidR="00F33C03" w:rsidRDefault="00647E24">
            <w:r>
              <w:rPr>
                <w:sz w:val="28"/>
              </w:rPr>
              <w:t>Popis</w:t>
            </w:r>
          </w:p>
        </w:tc>
      </w:tr>
      <w:tr w:rsidR="00F33C03" w14:paraId="0BAB7945" w14:textId="77777777">
        <w:trPr>
          <w:trHeight w:val="2064"/>
        </w:trPr>
        <w:tc>
          <w:tcPr>
            <w:tcW w:w="0" w:type="auto"/>
            <w:vMerge/>
            <w:tcBorders>
              <w:top w:val="nil"/>
              <w:left w:val="single" w:sz="8" w:space="0" w:color="000000"/>
              <w:bottom w:val="nil"/>
              <w:right w:val="single" w:sz="8" w:space="0" w:color="000000"/>
            </w:tcBorders>
          </w:tcPr>
          <w:p w14:paraId="62272610" w14:textId="77777777" w:rsidR="00F33C03" w:rsidRDefault="00F33C03"/>
        </w:tc>
        <w:tc>
          <w:tcPr>
            <w:tcW w:w="1798" w:type="dxa"/>
            <w:vMerge w:val="restart"/>
            <w:tcBorders>
              <w:top w:val="single" w:sz="8" w:space="0" w:color="000000"/>
              <w:left w:val="single" w:sz="8" w:space="0" w:color="000000"/>
              <w:bottom w:val="single" w:sz="8" w:space="0" w:color="000000"/>
              <w:right w:val="single" w:sz="8" w:space="0" w:color="000000"/>
            </w:tcBorders>
            <w:vAlign w:val="center"/>
          </w:tcPr>
          <w:p w14:paraId="12EC22DC" w14:textId="77777777" w:rsidR="00F33C03" w:rsidRDefault="00647E24">
            <w:r>
              <w:rPr>
                <w:sz w:val="28"/>
              </w:rPr>
              <w:t>Talent</w:t>
            </w:r>
          </w:p>
          <w:p w14:paraId="08020CBF" w14:textId="77777777" w:rsidR="00F33C03" w:rsidRDefault="00647E24">
            <w:r>
              <w:rPr>
                <w:sz w:val="28"/>
              </w:rPr>
              <w:t>Pěstování</w:t>
            </w:r>
          </w:p>
        </w:tc>
        <w:tc>
          <w:tcPr>
            <w:tcW w:w="2208" w:type="dxa"/>
            <w:tcBorders>
              <w:top w:val="single" w:sz="8" w:space="0" w:color="000000"/>
              <w:left w:val="single" w:sz="8" w:space="0" w:color="000000"/>
              <w:bottom w:val="single" w:sz="8" w:space="0" w:color="000000"/>
              <w:right w:val="single" w:sz="8" w:space="0" w:color="000000"/>
            </w:tcBorders>
            <w:vAlign w:val="center"/>
          </w:tcPr>
          <w:p w14:paraId="51AF9F0D" w14:textId="77777777" w:rsidR="00F33C03" w:rsidRDefault="00647E24">
            <w:r>
              <w:rPr>
                <w:sz w:val="28"/>
              </w:rPr>
              <w:t>Taoyuan mládež</w:t>
            </w:r>
          </w:p>
          <w:p w14:paraId="5975A13E" w14:textId="77777777" w:rsidR="00F33C03" w:rsidRDefault="00647E24">
            <w:r>
              <w:rPr>
                <w:sz w:val="28"/>
              </w:rPr>
              <w:t>Dobrodružný tábor</w:t>
            </w:r>
          </w:p>
        </w:tc>
        <w:tc>
          <w:tcPr>
            <w:tcW w:w="16118" w:type="dxa"/>
            <w:tcBorders>
              <w:top w:val="single" w:sz="8" w:space="0" w:color="000000"/>
              <w:left w:val="single" w:sz="8" w:space="0" w:color="000000"/>
              <w:bottom w:val="single" w:sz="8" w:space="0" w:color="000000"/>
              <w:right w:val="single" w:sz="8" w:space="0" w:color="000000"/>
            </w:tcBorders>
            <w:vAlign w:val="center"/>
          </w:tcPr>
          <w:p w14:paraId="10B7BA77" w14:textId="77777777" w:rsidR="00F33C03" w:rsidRDefault="00647E24">
            <w:pPr>
              <w:spacing w:after="9"/>
              <w:ind w:right="1"/>
              <w:jc w:val="both"/>
            </w:pPr>
            <w:r>
              <w:rPr>
                <w:sz w:val="28"/>
              </w:rPr>
              <w:t>Taoyuan Youth Adventure byla založena s podporou Oddělení pro záležitosti mládeže. Prostřednictvím dobrodružného vzdělávání povzbuzuje mladé lidi, aby vystoupili ze své komfortní zóny a dosáhli osobního růstu zapojením se do fyzických a psychických aktivit v bezpečném prostředí.</w:t>
            </w:r>
          </w:p>
          <w:p w14:paraId="73793321" w14:textId="77777777" w:rsidR="00F33C03" w:rsidRDefault="00647E24">
            <w:pPr>
              <w:jc w:val="both"/>
            </w:pPr>
            <w:r>
              <w:rPr>
                <w:sz w:val="28"/>
              </w:rPr>
              <w:t>Zařízení zahrnuje lanovou dráhu, kryté sportovní hřiště, plochu pro stolní fotbal, konferenční sál, učebny a poskytuje ubytování pro širokou škálu vzdělávacích programů.</w:t>
            </w:r>
          </w:p>
        </w:tc>
      </w:tr>
      <w:tr w:rsidR="00F33C03" w14:paraId="30CF6647" w14:textId="77777777">
        <w:trPr>
          <w:trHeight w:val="1265"/>
        </w:trPr>
        <w:tc>
          <w:tcPr>
            <w:tcW w:w="0" w:type="auto"/>
            <w:vMerge/>
            <w:tcBorders>
              <w:top w:val="nil"/>
              <w:left w:val="single" w:sz="8" w:space="0" w:color="000000"/>
              <w:bottom w:val="nil"/>
              <w:right w:val="single" w:sz="8" w:space="0" w:color="000000"/>
            </w:tcBorders>
          </w:tcPr>
          <w:p w14:paraId="4C57FE58" w14:textId="77777777" w:rsidR="00F33C03" w:rsidRDefault="00F33C03"/>
        </w:tc>
        <w:tc>
          <w:tcPr>
            <w:tcW w:w="0" w:type="auto"/>
            <w:vMerge/>
            <w:tcBorders>
              <w:top w:val="nil"/>
              <w:left w:val="single" w:sz="8" w:space="0" w:color="000000"/>
              <w:bottom w:val="nil"/>
              <w:right w:val="single" w:sz="8" w:space="0" w:color="000000"/>
            </w:tcBorders>
          </w:tcPr>
          <w:p w14:paraId="66C54B3C"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39E431C3" w14:textId="77777777" w:rsidR="00F33C03" w:rsidRDefault="00647E24">
            <w:r>
              <w:rPr>
                <w:sz w:val="28"/>
              </w:rPr>
              <w:t>Taoyuan Talent Competition</w:t>
            </w:r>
          </w:p>
        </w:tc>
        <w:tc>
          <w:tcPr>
            <w:tcW w:w="16118" w:type="dxa"/>
            <w:tcBorders>
              <w:top w:val="single" w:sz="8" w:space="0" w:color="000000"/>
              <w:left w:val="single" w:sz="8" w:space="0" w:color="000000"/>
              <w:bottom w:val="single" w:sz="8" w:space="0" w:color="000000"/>
              <w:right w:val="single" w:sz="8" w:space="0" w:color="000000"/>
            </w:tcBorders>
            <w:vAlign w:val="center"/>
          </w:tcPr>
          <w:p w14:paraId="0255CE13" w14:textId="77777777" w:rsidR="00F33C03" w:rsidRDefault="00647E24">
            <w:pPr>
              <w:ind w:right="2"/>
              <w:jc w:val="both"/>
            </w:pPr>
            <w:r>
              <w:rPr>
                <w:sz w:val="28"/>
              </w:rPr>
              <w:t>Tento program organizuje konkurzy na talenty a aktivity zaměřené na dohazování v oboru, aby vychoval budoucí profesionály pro průmysl scénických umění. Poskytuje přístup k mentorům v oblasti scénických umění pro výcvik mladých talentů a podporuje rozvoj místního sektoru scénických umění v Taoyuanu.</w:t>
            </w:r>
          </w:p>
        </w:tc>
      </w:tr>
      <w:tr w:rsidR="00F33C03" w14:paraId="01D3EA10" w14:textId="77777777">
        <w:trPr>
          <w:trHeight w:val="1366"/>
        </w:trPr>
        <w:tc>
          <w:tcPr>
            <w:tcW w:w="0" w:type="auto"/>
            <w:vMerge/>
            <w:tcBorders>
              <w:top w:val="nil"/>
              <w:left w:val="single" w:sz="8" w:space="0" w:color="000000"/>
              <w:bottom w:val="nil"/>
              <w:right w:val="single" w:sz="8" w:space="0" w:color="000000"/>
            </w:tcBorders>
          </w:tcPr>
          <w:p w14:paraId="1F936E31" w14:textId="77777777" w:rsidR="00F33C03" w:rsidRDefault="00F33C03"/>
        </w:tc>
        <w:tc>
          <w:tcPr>
            <w:tcW w:w="0" w:type="auto"/>
            <w:vMerge/>
            <w:tcBorders>
              <w:top w:val="nil"/>
              <w:left w:val="single" w:sz="8" w:space="0" w:color="000000"/>
              <w:bottom w:val="single" w:sz="8" w:space="0" w:color="000000"/>
              <w:right w:val="single" w:sz="8" w:space="0" w:color="000000"/>
            </w:tcBorders>
          </w:tcPr>
          <w:p w14:paraId="75F70159"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1FFBB256" w14:textId="77777777" w:rsidR="00F33C03" w:rsidRDefault="00647E24">
            <w:r>
              <w:rPr>
                <w:sz w:val="28"/>
              </w:rPr>
              <w:t>Taoyuan Tábor k dospívání</w:t>
            </w:r>
          </w:p>
        </w:tc>
        <w:tc>
          <w:tcPr>
            <w:tcW w:w="16118" w:type="dxa"/>
            <w:tcBorders>
              <w:top w:val="single" w:sz="8" w:space="0" w:color="000000"/>
              <w:left w:val="single" w:sz="8" w:space="0" w:color="000000"/>
              <w:bottom w:val="single" w:sz="8" w:space="0" w:color="000000"/>
              <w:right w:val="single" w:sz="8" w:space="0" w:color="000000"/>
            </w:tcBorders>
            <w:vAlign w:val="center"/>
          </w:tcPr>
          <w:p w14:paraId="15F56297" w14:textId="77777777" w:rsidR="00F33C03" w:rsidRDefault="00647E24">
            <w:pPr>
              <w:ind w:right="1"/>
              <w:jc w:val="both"/>
            </w:pPr>
            <w:r>
              <w:rPr>
                <w:sz w:val="28"/>
              </w:rPr>
              <w:t>Taoyuan Coming-of-Age Ceremony Camp má každý rok jiné téma a spojuje sérii aktivit založených na výzvách do jednodenního tábora. Díky různorodým úkolům získávají mladí lidé porozumění globálním problémům, zlepšují mezilidskou komunikaci a týmovou práci a jsou vedeni k tomu, aby si uvědomovali svou vlastní hodnotu a čelili budoucím výzvám s jistotou.</w:t>
            </w:r>
          </w:p>
        </w:tc>
      </w:tr>
      <w:tr w:rsidR="00F33C03" w14:paraId="71EB71AE" w14:textId="77777777">
        <w:trPr>
          <w:trHeight w:val="1409"/>
        </w:trPr>
        <w:tc>
          <w:tcPr>
            <w:tcW w:w="0" w:type="auto"/>
            <w:vMerge/>
            <w:tcBorders>
              <w:top w:val="nil"/>
              <w:left w:val="single" w:sz="8" w:space="0" w:color="000000"/>
              <w:bottom w:val="nil"/>
              <w:right w:val="single" w:sz="8" w:space="0" w:color="000000"/>
            </w:tcBorders>
          </w:tcPr>
          <w:p w14:paraId="39C72BEC" w14:textId="77777777" w:rsidR="00F33C03" w:rsidRDefault="00F33C03"/>
        </w:tc>
        <w:tc>
          <w:tcPr>
            <w:tcW w:w="1798" w:type="dxa"/>
            <w:vMerge w:val="restart"/>
            <w:tcBorders>
              <w:top w:val="single" w:sz="8" w:space="0" w:color="000000"/>
              <w:left w:val="single" w:sz="8" w:space="0" w:color="000000"/>
              <w:bottom w:val="single" w:sz="8" w:space="0" w:color="000000"/>
              <w:right w:val="single" w:sz="8" w:space="0" w:color="000000"/>
            </w:tcBorders>
            <w:vAlign w:val="center"/>
          </w:tcPr>
          <w:p w14:paraId="28ECDAD9" w14:textId="77777777" w:rsidR="00F33C03" w:rsidRDefault="00647E24">
            <w:r>
              <w:rPr>
                <w:sz w:val="28"/>
              </w:rPr>
              <w:t>Občanská</w:t>
            </w:r>
          </w:p>
          <w:p w14:paraId="219486B5" w14:textId="77777777" w:rsidR="00F33C03" w:rsidRDefault="00647E24">
            <w:r>
              <w:rPr>
                <w:sz w:val="28"/>
              </w:rPr>
              <w:t>Zapojení</w:t>
            </w:r>
          </w:p>
        </w:tc>
        <w:tc>
          <w:tcPr>
            <w:tcW w:w="2208" w:type="dxa"/>
            <w:tcBorders>
              <w:top w:val="single" w:sz="8" w:space="0" w:color="000000"/>
              <w:left w:val="single" w:sz="8" w:space="0" w:color="000000"/>
              <w:bottom w:val="single" w:sz="8" w:space="0" w:color="000000"/>
              <w:right w:val="single" w:sz="8" w:space="0" w:color="000000"/>
            </w:tcBorders>
            <w:vAlign w:val="center"/>
          </w:tcPr>
          <w:p w14:paraId="5A00995B" w14:textId="77777777" w:rsidR="00F33C03" w:rsidRDefault="00647E24">
            <w:r>
              <w:rPr>
                <w:sz w:val="28"/>
              </w:rPr>
              <w:t>Dotace pro mládež</w:t>
            </w:r>
          </w:p>
          <w:p w14:paraId="64081C76" w14:textId="77777777" w:rsidR="00F33C03" w:rsidRDefault="00647E24">
            <w:r>
              <w:rPr>
                <w:sz w:val="28"/>
              </w:rPr>
              <w:t>Společenské</w:t>
            </w:r>
          </w:p>
          <w:p w14:paraId="2638C3FE" w14:textId="77777777" w:rsidR="00F33C03" w:rsidRDefault="00647E24">
            <w:r>
              <w:rPr>
                <w:sz w:val="28"/>
              </w:rPr>
              <w:t>Účast</w:t>
            </w:r>
          </w:p>
        </w:tc>
        <w:tc>
          <w:tcPr>
            <w:tcW w:w="16118" w:type="dxa"/>
            <w:tcBorders>
              <w:top w:val="single" w:sz="8" w:space="0" w:color="000000"/>
              <w:left w:val="single" w:sz="8" w:space="0" w:color="000000"/>
              <w:bottom w:val="single" w:sz="8" w:space="0" w:color="000000"/>
              <w:right w:val="single" w:sz="8" w:space="0" w:color="000000"/>
            </w:tcBorders>
            <w:vAlign w:val="bottom"/>
          </w:tcPr>
          <w:p w14:paraId="6AC3BB0A" w14:textId="77777777" w:rsidR="00F33C03" w:rsidRDefault="00647E24">
            <w:pPr>
              <w:jc w:val="both"/>
            </w:pPr>
            <w:r>
              <w:rPr>
                <w:sz w:val="28"/>
              </w:rPr>
              <w:t>Aby se mladým lidem poskytly příležitosti zapojit se do veřejných záležitostí a posílit jejich občanskou angažovanost, budou mladým lidem, kteří se zapojí do aktivit souvisejících s veřejnými otázkami nebo dobrovolnických služeb, jak doma, tak v zahraničí, poskytovány dotace. Způsobilými žadateli jsou mladí lidé ve věku 15 až 35 let, kteří jsou buď registrovanými obyvateli města Taoyuan, nebo studují či pracují v Taoyuanu.</w:t>
            </w:r>
          </w:p>
        </w:tc>
      </w:tr>
      <w:tr w:rsidR="00F33C03" w14:paraId="7B6D9136" w14:textId="77777777">
        <w:trPr>
          <w:trHeight w:val="1584"/>
        </w:trPr>
        <w:tc>
          <w:tcPr>
            <w:tcW w:w="0" w:type="auto"/>
            <w:vMerge/>
            <w:tcBorders>
              <w:top w:val="nil"/>
              <w:left w:val="single" w:sz="8" w:space="0" w:color="000000"/>
              <w:bottom w:val="single" w:sz="8" w:space="0" w:color="000000"/>
              <w:right w:val="single" w:sz="8" w:space="0" w:color="000000"/>
            </w:tcBorders>
          </w:tcPr>
          <w:p w14:paraId="7075147F" w14:textId="77777777" w:rsidR="00F33C03" w:rsidRDefault="00F33C03"/>
        </w:tc>
        <w:tc>
          <w:tcPr>
            <w:tcW w:w="0" w:type="auto"/>
            <w:vMerge/>
            <w:tcBorders>
              <w:top w:val="nil"/>
              <w:left w:val="single" w:sz="8" w:space="0" w:color="000000"/>
              <w:bottom w:val="single" w:sz="8" w:space="0" w:color="000000"/>
              <w:right w:val="single" w:sz="8" w:space="0" w:color="000000"/>
            </w:tcBorders>
          </w:tcPr>
          <w:p w14:paraId="56A048BE"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5E137D8F" w14:textId="77777777" w:rsidR="00F33C03" w:rsidRDefault="00647E24">
            <w:r>
              <w:rPr>
                <w:sz w:val="28"/>
              </w:rPr>
              <w:t>Taoyuan mládež</w:t>
            </w:r>
          </w:p>
          <w:p w14:paraId="2CC4BD4E" w14:textId="77777777" w:rsidR="00F33C03" w:rsidRDefault="00647E24">
            <w:r>
              <w:rPr>
                <w:sz w:val="28"/>
              </w:rPr>
              <w:t>Poradní rada</w:t>
            </w:r>
          </w:p>
        </w:tc>
        <w:tc>
          <w:tcPr>
            <w:tcW w:w="16118" w:type="dxa"/>
            <w:tcBorders>
              <w:top w:val="single" w:sz="8" w:space="0" w:color="000000"/>
              <w:left w:val="single" w:sz="8" w:space="0" w:color="000000"/>
              <w:bottom w:val="single" w:sz="8" w:space="0" w:color="000000"/>
              <w:right w:val="single" w:sz="8" w:space="0" w:color="000000"/>
            </w:tcBorders>
            <w:vAlign w:val="center"/>
          </w:tcPr>
          <w:p w14:paraId="129F1176" w14:textId="77777777" w:rsidR="00F33C03" w:rsidRDefault="00647E24">
            <w:pPr>
              <w:jc w:val="both"/>
            </w:pPr>
            <w:r>
              <w:rPr>
                <w:sz w:val="28"/>
              </w:rPr>
              <w:t>Rada slouží jako platforma pro mládež, aby mohla předkládat své politické návrhy, čímž vytváří více kanálů pro rozvoj talentů a posílení občanské angažovanosti. Tato iniciativa si klade za cíl podporovat různé programy a iniciativy rozvoje mládeže.</w:t>
            </w:r>
          </w:p>
        </w:tc>
      </w:tr>
    </w:tbl>
    <w:p w14:paraId="3568D169" w14:textId="77777777" w:rsidR="00F33C03" w:rsidRDefault="00F33C03">
      <w:pPr>
        <w:spacing w:after="0"/>
        <w:ind w:left="-1440" w:right="22368"/>
      </w:pPr>
    </w:p>
    <w:tbl>
      <w:tblPr>
        <w:tblStyle w:val="TableGrid"/>
        <w:tblW w:w="21480" w:type="dxa"/>
        <w:tblInd w:w="-286" w:type="dxa"/>
        <w:tblCellMar>
          <w:top w:w="49" w:type="dxa"/>
          <w:left w:w="46" w:type="dxa"/>
          <w:right w:w="37" w:type="dxa"/>
        </w:tblCellMar>
        <w:tblLook w:val="04A0" w:firstRow="1" w:lastRow="0" w:firstColumn="1" w:lastColumn="0" w:noHBand="0" w:noVBand="1"/>
      </w:tblPr>
      <w:tblGrid>
        <w:gridCol w:w="1356"/>
        <w:gridCol w:w="1798"/>
        <w:gridCol w:w="2208"/>
        <w:gridCol w:w="16118"/>
      </w:tblGrid>
      <w:tr w:rsidR="00F33C03" w14:paraId="185DA781" w14:textId="77777777">
        <w:trPr>
          <w:trHeight w:val="1860"/>
        </w:trPr>
        <w:tc>
          <w:tcPr>
            <w:tcW w:w="1356" w:type="dxa"/>
            <w:vMerge w:val="restart"/>
            <w:tcBorders>
              <w:top w:val="single" w:sz="8" w:space="0" w:color="000000"/>
              <w:left w:val="single" w:sz="8" w:space="0" w:color="000000"/>
              <w:bottom w:val="single" w:sz="8" w:space="0" w:color="000000"/>
              <w:right w:val="single" w:sz="8" w:space="0" w:color="000000"/>
            </w:tcBorders>
          </w:tcPr>
          <w:p w14:paraId="11366850" w14:textId="77777777" w:rsidR="00F33C03" w:rsidRDefault="00F33C03"/>
        </w:tc>
        <w:tc>
          <w:tcPr>
            <w:tcW w:w="1798" w:type="dxa"/>
            <w:vMerge w:val="restart"/>
            <w:tcBorders>
              <w:top w:val="single" w:sz="8" w:space="0" w:color="000000"/>
              <w:left w:val="single" w:sz="8" w:space="0" w:color="000000"/>
              <w:bottom w:val="single" w:sz="8" w:space="0" w:color="000000"/>
              <w:right w:val="single" w:sz="8" w:space="0" w:color="000000"/>
            </w:tcBorders>
            <w:vAlign w:val="center"/>
          </w:tcPr>
          <w:p w14:paraId="6F4C7D42" w14:textId="77777777" w:rsidR="00F33C03" w:rsidRDefault="00647E24">
            <w:r>
              <w:rPr>
                <w:sz w:val="28"/>
              </w:rPr>
              <w:t>Taoyuan</w:t>
            </w:r>
          </w:p>
          <w:p w14:paraId="646E2FA8" w14:textId="77777777" w:rsidR="00F33C03" w:rsidRDefault="00647E24">
            <w:r>
              <w:rPr>
                <w:sz w:val="28"/>
              </w:rPr>
              <w:t>Regionální</w:t>
            </w:r>
          </w:p>
          <w:p w14:paraId="72272269" w14:textId="77777777" w:rsidR="00F33C03" w:rsidRDefault="00647E24">
            <w:r>
              <w:rPr>
                <w:sz w:val="28"/>
              </w:rPr>
              <w:t>Oživení</w:t>
            </w:r>
          </w:p>
        </w:tc>
        <w:tc>
          <w:tcPr>
            <w:tcW w:w="18326" w:type="dxa"/>
            <w:gridSpan w:val="2"/>
            <w:tcBorders>
              <w:top w:val="single" w:sz="8" w:space="0" w:color="000000"/>
              <w:left w:val="single" w:sz="8" w:space="0" w:color="000000"/>
              <w:bottom w:val="single" w:sz="8" w:space="0" w:color="000000"/>
              <w:right w:val="single" w:sz="8" w:space="0" w:color="000000"/>
            </w:tcBorders>
            <w:vAlign w:val="center"/>
          </w:tcPr>
          <w:p w14:paraId="626002F0" w14:textId="77777777" w:rsidR="00F33C03" w:rsidRDefault="00647E24">
            <w:pPr>
              <w:ind w:right="2"/>
              <w:jc w:val="both"/>
            </w:pPr>
            <w:r>
              <w:rPr>
                <w:sz w:val="28"/>
              </w:rPr>
              <w:t>Regionální revitalizace Taoyuan především pomáhá nedostatečně financovaným oblastem generovat novou vitalitu, odhalovat místní atrakce a rozvíjet místní průmysl. Také povzbuzuje mládež, aby se vrátila do svých rodných měst a pomáhá řešit výzvy stárnoucí populace. Podporou různých revitalizačních týmů a poskytováním specializovaných inovačních základen podporuje Oddělení pro záležitosti mládeže města Taoyuan regionální aktivity revitalizace v různých oblastech, včetně kulturních a uměleckých iniciativ, místních zkušeností, environmentální udržitelnosti a rozvoje talentů.</w:t>
            </w:r>
          </w:p>
        </w:tc>
      </w:tr>
      <w:tr w:rsidR="00F33C03" w14:paraId="5B9C1EEE" w14:textId="77777777">
        <w:trPr>
          <w:trHeight w:val="362"/>
        </w:trPr>
        <w:tc>
          <w:tcPr>
            <w:tcW w:w="0" w:type="auto"/>
            <w:vMerge/>
            <w:tcBorders>
              <w:top w:val="nil"/>
              <w:left w:val="single" w:sz="8" w:space="0" w:color="000000"/>
              <w:bottom w:val="nil"/>
              <w:right w:val="single" w:sz="8" w:space="0" w:color="000000"/>
            </w:tcBorders>
          </w:tcPr>
          <w:p w14:paraId="5BEFAC12" w14:textId="77777777" w:rsidR="00F33C03" w:rsidRDefault="00F33C03"/>
        </w:tc>
        <w:tc>
          <w:tcPr>
            <w:tcW w:w="0" w:type="auto"/>
            <w:vMerge/>
            <w:tcBorders>
              <w:top w:val="nil"/>
              <w:left w:val="single" w:sz="8" w:space="0" w:color="000000"/>
              <w:bottom w:val="nil"/>
              <w:right w:val="single" w:sz="8" w:space="0" w:color="000000"/>
            </w:tcBorders>
          </w:tcPr>
          <w:p w14:paraId="14A90ED3"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shd w:val="clear" w:color="auto" w:fill="B7B7B7"/>
          </w:tcPr>
          <w:p w14:paraId="34AA77CA" w14:textId="77777777" w:rsidR="00F33C03" w:rsidRDefault="00647E24">
            <w:r>
              <w:rPr>
                <w:sz w:val="28"/>
              </w:rPr>
              <w:t>Téma</w:t>
            </w:r>
          </w:p>
        </w:tc>
        <w:tc>
          <w:tcPr>
            <w:tcW w:w="16118" w:type="dxa"/>
            <w:tcBorders>
              <w:top w:val="single" w:sz="8" w:space="0" w:color="000000"/>
              <w:left w:val="single" w:sz="8" w:space="0" w:color="000000"/>
              <w:bottom w:val="single" w:sz="8" w:space="0" w:color="000000"/>
              <w:right w:val="single" w:sz="8" w:space="0" w:color="000000"/>
            </w:tcBorders>
            <w:shd w:val="clear" w:color="auto" w:fill="B7B7B7"/>
          </w:tcPr>
          <w:p w14:paraId="0AC250A2" w14:textId="77777777" w:rsidR="00F33C03" w:rsidRDefault="00647E24">
            <w:r>
              <w:rPr>
                <w:sz w:val="28"/>
              </w:rPr>
              <w:t>Příklad</w:t>
            </w:r>
          </w:p>
        </w:tc>
      </w:tr>
      <w:tr w:rsidR="00F33C03" w14:paraId="6359140A" w14:textId="77777777">
        <w:trPr>
          <w:trHeight w:val="1469"/>
        </w:trPr>
        <w:tc>
          <w:tcPr>
            <w:tcW w:w="0" w:type="auto"/>
            <w:vMerge/>
            <w:tcBorders>
              <w:top w:val="nil"/>
              <w:left w:val="single" w:sz="8" w:space="0" w:color="000000"/>
              <w:bottom w:val="nil"/>
              <w:right w:val="single" w:sz="8" w:space="0" w:color="000000"/>
            </w:tcBorders>
          </w:tcPr>
          <w:p w14:paraId="0F5B86A0" w14:textId="77777777" w:rsidR="00F33C03" w:rsidRDefault="00F33C03"/>
        </w:tc>
        <w:tc>
          <w:tcPr>
            <w:tcW w:w="0" w:type="auto"/>
            <w:vMerge/>
            <w:tcBorders>
              <w:top w:val="nil"/>
              <w:left w:val="single" w:sz="8" w:space="0" w:color="000000"/>
              <w:bottom w:val="nil"/>
              <w:right w:val="single" w:sz="8" w:space="0" w:color="000000"/>
            </w:tcBorders>
          </w:tcPr>
          <w:p w14:paraId="45486CC2"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06813701" w14:textId="77777777" w:rsidR="00F33C03" w:rsidRDefault="00647E24">
            <w:r>
              <w:rPr>
                <w:sz w:val="28"/>
              </w:rPr>
              <w:t>Rozvoj talentu</w:t>
            </w:r>
          </w:p>
        </w:tc>
        <w:tc>
          <w:tcPr>
            <w:tcW w:w="16118" w:type="dxa"/>
            <w:tcBorders>
              <w:top w:val="single" w:sz="8" w:space="0" w:color="000000"/>
              <w:left w:val="single" w:sz="8" w:space="0" w:color="000000"/>
              <w:bottom w:val="single" w:sz="8" w:space="0" w:color="000000"/>
              <w:right w:val="single" w:sz="8" w:space="0" w:color="000000"/>
            </w:tcBorders>
          </w:tcPr>
          <w:p w14:paraId="2627E3C0" w14:textId="77777777" w:rsidR="00F33C03" w:rsidRDefault="00647E24">
            <w:pPr>
              <w:jc w:val="both"/>
            </w:pPr>
            <w:r>
              <w:rPr>
                <w:sz w:val="28"/>
              </w:rPr>
              <w:t>ONE HOW SPACE, první regionální základna pro revitalizaci v Taoyuanu, byla založena v roce 2023. Integrací různých zdrojů pro regionální revitalizaci poskytuje mládežnickým týmům prostor pro prezentaci a prodej svých produktů. Základna také pořádá výstavy, prodejní akce, tematické kurzy a networkingové aktivity, sloužící jako multifunkční centrum pro akce, výměny, veřejné konzultace a propagaci. Tím podporuje rozvoj regionálních revitalizačních iniciativ v celém Taoyuanu.</w:t>
            </w:r>
          </w:p>
        </w:tc>
      </w:tr>
      <w:tr w:rsidR="00F33C03" w14:paraId="7CDEB804" w14:textId="77777777">
        <w:trPr>
          <w:trHeight w:val="2938"/>
        </w:trPr>
        <w:tc>
          <w:tcPr>
            <w:tcW w:w="0" w:type="auto"/>
            <w:vMerge/>
            <w:tcBorders>
              <w:top w:val="nil"/>
              <w:left w:val="single" w:sz="8" w:space="0" w:color="000000"/>
              <w:bottom w:val="nil"/>
              <w:right w:val="single" w:sz="8" w:space="0" w:color="000000"/>
            </w:tcBorders>
          </w:tcPr>
          <w:p w14:paraId="6B62B4EC" w14:textId="77777777" w:rsidR="00F33C03" w:rsidRDefault="00F33C03"/>
        </w:tc>
        <w:tc>
          <w:tcPr>
            <w:tcW w:w="0" w:type="auto"/>
            <w:vMerge/>
            <w:tcBorders>
              <w:top w:val="nil"/>
              <w:left w:val="single" w:sz="8" w:space="0" w:color="000000"/>
              <w:bottom w:val="nil"/>
              <w:right w:val="single" w:sz="8" w:space="0" w:color="000000"/>
            </w:tcBorders>
          </w:tcPr>
          <w:p w14:paraId="44C3B426"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22E2FDBB" w14:textId="77777777" w:rsidR="00F33C03" w:rsidRDefault="00647E24">
            <w:r>
              <w:rPr>
                <w:sz w:val="28"/>
              </w:rPr>
              <w:t>Kultura a umění</w:t>
            </w:r>
          </w:p>
        </w:tc>
        <w:tc>
          <w:tcPr>
            <w:tcW w:w="16118" w:type="dxa"/>
            <w:tcBorders>
              <w:top w:val="single" w:sz="8" w:space="0" w:color="000000"/>
              <w:left w:val="single" w:sz="8" w:space="0" w:color="000000"/>
              <w:bottom w:val="single" w:sz="8" w:space="0" w:color="000000"/>
              <w:right w:val="single" w:sz="8" w:space="0" w:color="000000"/>
            </w:tcBorders>
          </w:tcPr>
          <w:p w14:paraId="792CC64C" w14:textId="77777777" w:rsidR="00F33C03" w:rsidRDefault="00647E24">
            <w:pPr>
              <w:spacing w:after="6" w:line="261" w:lineRule="auto"/>
              <w:ind w:right="1"/>
              <w:jc w:val="both"/>
            </w:pPr>
            <w:r>
              <w:rPr>
                <w:sz w:val="28"/>
              </w:rPr>
              <w:t>Taoyuanská fronta umění a kultury byla založena v roce 2014 s posláním podporovat umění, kulturu a místní aktivity v Taoyuanu. Organizací prvního ročníku "Návrat do Taoyuan Art Festivalu" skupina úspěšně povzbudila mladé umělce, aby se vrátili do města a ukázali své talenty svým jedinečným způsobem. Díky spolupráci mladých dobrovolníků, místních náčelníků a členů komunity organizace postupně a efektivně propojila místní kulturu a zdroje Taoyuanu.</w:t>
            </w:r>
          </w:p>
          <w:p w14:paraId="45C049DF" w14:textId="77777777" w:rsidR="00F33C03" w:rsidRDefault="00647E24">
            <w:pPr>
              <w:jc w:val="both"/>
            </w:pPr>
            <w:r>
              <w:rPr>
                <w:sz w:val="28"/>
              </w:rPr>
              <w:t>Kromě uměleckého festivalu organizace aktivně spravuje prostory pro kreativní využití nevyužitých městských oblastí, včetně jejich využití pro trhy, kulturní akce, divadla a umělecké tvorby. Díky těmto rozmanitým aktivitám úspěšně podporuje mládež Taoyuanu k aktivní účasti na místních kulturních a uměleckých akcích, čímž zdůrazňuje tvůrčí a kulturní potenciál města.</w:t>
            </w:r>
          </w:p>
        </w:tc>
      </w:tr>
      <w:tr w:rsidR="00F33C03" w14:paraId="0A8D39C7" w14:textId="77777777">
        <w:trPr>
          <w:trHeight w:val="3025"/>
        </w:trPr>
        <w:tc>
          <w:tcPr>
            <w:tcW w:w="0" w:type="auto"/>
            <w:vMerge/>
            <w:tcBorders>
              <w:top w:val="nil"/>
              <w:left w:val="single" w:sz="8" w:space="0" w:color="000000"/>
              <w:bottom w:val="nil"/>
              <w:right w:val="single" w:sz="8" w:space="0" w:color="000000"/>
            </w:tcBorders>
          </w:tcPr>
          <w:p w14:paraId="074660A7" w14:textId="77777777" w:rsidR="00F33C03" w:rsidRDefault="00F33C03"/>
        </w:tc>
        <w:tc>
          <w:tcPr>
            <w:tcW w:w="0" w:type="auto"/>
            <w:vMerge/>
            <w:tcBorders>
              <w:top w:val="nil"/>
              <w:left w:val="single" w:sz="8" w:space="0" w:color="000000"/>
              <w:bottom w:val="nil"/>
              <w:right w:val="single" w:sz="8" w:space="0" w:color="000000"/>
            </w:tcBorders>
          </w:tcPr>
          <w:p w14:paraId="31F68910"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59F4EC99" w14:textId="77777777" w:rsidR="00F33C03" w:rsidRDefault="00647E24">
            <w:r>
              <w:rPr>
                <w:sz w:val="28"/>
              </w:rPr>
              <w:t>Místní zkušenosti</w:t>
            </w:r>
          </w:p>
        </w:tc>
        <w:tc>
          <w:tcPr>
            <w:tcW w:w="16118" w:type="dxa"/>
            <w:tcBorders>
              <w:top w:val="single" w:sz="8" w:space="0" w:color="000000"/>
              <w:left w:val="single" w:sz="8" w:space="0" w:color="000000"/>
              <w:bottom w:val="single" w:sz="8" w:space="0" w:color="000000"/>
              <w:right w:val="single" w:sz="8" w:space="0" w:color="000000"/>
            </w:tcBorders>
            <w:vAlign w:val="center"/>
          </w:tcPr>
          <w:p w14:paraId="242595DB" w14:textId="77777777" w:rsidR="00F33C03" w:rsidRDefault="00647E24">
            <w:pPr>
              <w:spacing w:after="9"/>
              <w:ind w:right="1"/>
              <w:jc w:val="both"/>
            </w:pPr>
            <w:r>
              <w:rPr>
                <w:sz w:val="28"/>
              </w:rPr>
              <w:t>Okres Fuxing v Taoyuanu je proslulý svými šťavnatými broskvemi. Nedaleko hory Lala slaví domorodá komunita Btwanokan místní sezónu "May Peach", která přichází každý květen. Komunita však dlouhodobě čelí významným ekonomickým výzvám, včetně změny klimatu, cenové konkurence a vnějších konkurentů.</w:t>
            </w:r>
          </w:p>
          <w:p w14:paraId="50F2B817" w14:textId="77777777" w:rsidR="00F33C03" w:rsidRDefault="00647E24">
            <w:pPr>
              <w:ind w:right="1"/>
              <w:jc w:val="both"/>
            </w:pPr>
            <w:r>
              <w:rPr>
                <w:sz w:val="28"/>
              </w:rPr>
              <w:t>Aby to řešila, May Peach Cooperative založila značku "Sanguang May Peach" vytvořením přímého kanálu pro místní produkty. Družstvo zlepšilo zemědělské a produktové techniky, úspěšně přeměnilo neprodávatelné broskve (menší ovoce, které nesplňovalo tržní standardy) na hodnotné produkty jako pivo a džemy. Tato iniciativa oživila květnovou broskev na trhu, zlepšila místní ekonomiku a poskytla mladým lidem příležitosti vrátit se do komunity.</w:t>
            </w:r>
          </w:p>
        </w:tc>
      </w:tr>
      <w:tr w:rsidR="00F33C03" w14:paraId="52521D5C" w14:textId="77777777">
        <w:trPr>
          <w:trHeight w:val="4390"/>
        </w:trPr>
        <w:tc>
          <w:tcPr>
            <w:tcW w:w="0" w:type="auto"/>
            <w:vMerge/>
            <w:tcBorders>
              <w:top w:val="nil"/>
              <w:left w:val="single" w:sz="8" w:space="0" w:color="000000"/>
              <w:bottom w:val="single" w:sz="8" w:space="0" w:color="000000"/>
              <w:right w:val="single" w:sz="8" w:space="0" w:color="000000"/>
            </w:tcBorders>
          </w:tcPr>
          <w:p w14:paraId="66EE3E97" w14:textId="77777777" w:rsidR="00F33C03" w:rsidRDefault="00F33C03"/>
        </w:tc>
        <w:tc>
          <w:tcPr>
            <w:tcW w:w="0" w:type="auto"/>
            <w:vMerge/>
            <w:tcBorders>
              <w:top w:val="nil"/>
              <w:left w:val="single" w:sz="8" w:space="0" w:color="000000"/>
              <w:bottom w:val="single" w:sz="8" w:space="0" w:color="000000"/>
              <w:right w:val="single" w:sz="8" w:space="0" w:color="000000"/>
            </w:tcBorders>
          </w:tcPr>
          <w:p w14:paraId="5CE402A4"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32463AF9" w14:textId="77777777" w:rsidR="00F33C03" w:rsidRDefault="00647E24">
            <w:r>
              <w:rPr>
                <w:sz w:val="28"/>
              </w:rPr>
              <w:t>Udržitelnost životního prostředí</w:t>
            </w:r>
          </w:p>
        </w:tc>
        <w:tc>
          <w:tcPr>
            <w:tcW w:w="16118" w:type="dxa"/>
            <w:tcBorders>
              <w:top w:val="single" w:sz="8" w:space="0" w:color="000000"/>
              <w:left w:val="single" w:sz="8" w:space="0" w:color="000000"/>
              <w:bottom w:val="single" w:sz="8" w:space="0" w:color="000000"/>
              <w:right w:val="single" w:sz="8" w:space="0" w:color="000000"/>
            </w:tcBorders>
          </w:tcPr>
          <w:p w14:paraId="4B5143CA" w14:textId="77777777" w:rsidR="00F33C03" w:rsidRDefault="00647E24">
            <w:pPr>
              <w:spacing w:after="9"/>
              <w:ind w:right="1"/>
              <w:jc w:val="both"/>
            </w:pPr>
            <w:r>
              <w:rPr>
                <w:sz w:val="28"/>
              </w:rPr>
              <w:t>Okres Daxi je známý dvěma hlavními tradičními průmysly: výrobou tofu a řemeslnou výrobou oltářních stolů, obě mají více než století historii a kompletní průmyslový řetězec. Řízení vedlejších produktů z těchto odvětví – sójové buničiny z továren na tofu a dřevních hoblín z dílen u oltářních stolů – však vyžaduje značné náklady na udržení čistého životního prostředí a prevenci znečištění.</w:t>
            </w:r>
          </w:p>
          <w:p w14:paraId="07A2745A" w14:textId="77777777" w:rsidR="00F33C03" w:rsidRDefault="00647E24">
            <w:pPr>
              <w:spacing w:after="7" w:line="261" w:lineRule="auto"/>
              <w:ind w:right="1"/>
              <w:jc w:val="both"/>
            </w:pPr>
            <w:r>
              <w:rPr>
                <w:sz w:val="28"/>
              </w:rPr>
              <w:t>Aby se s touto environmentální a ekonomickou výzvou vypořádal, tým revitalizace spolupracoval s místními ekologickými zemědělskými družstvy, továrnami na tofu a dílnami na zpracování dřeva. Identifikovali vhodná kompostovací místa a úspěšně přeměnili tyto průmyslové vedlejší produkty na vysoce kvalitní kompost. Tato iniciativa poskytuje ekologickým farmám v Daxi čistá a ekonomická hnojiva, čímž zvyšuje konkurenceschopnost místního ekologického zemědělství.</w:t>
            </w:r>
          </w:p>
          <w:p w14:paraId="7E565D9C" w14:textId="77777777" w:rsidR="00F33C03" w:rsidRDefault="00647E24">
            <w:pPr>
              <w:ind w:right="1"/>
              <w:jc w:val="both"/>
            </w:pPr>
            <w:r>
              <w:rPr>
                <w:sz w:val="28"/>
              </w:rPr>
              <w:t>Tým dále vytvořil sdílený vzdělávací prostor, který nabízí komplexní kurzy pokrývající propagaci ekologického zemědělství, výrobu organických hnojiv, průmyslovou modernizaci, zkušenosti s organickou výsadbou a digitální dovednosti. Také organizují stáže, které umožňují studentům a nadšencům organického průmyslu z celého Tchaj-wanu pečlivě sledovat proces kompostování sójové buničiny a dřevních hoblin.</w:t>
            </w:r>
          </w:p>
        </w:tc>
      </w:tr>
    </w:tbl>
    <w:p w14:paraId="333D3DA5" w14:textId="77777777" w:rsidR="00F33C03" w:rsidRDefault="00F33C03">
      <w:pPr>
        <w:spacing w:after="0"/>
        <w:ind w:left="-1440" w:right="22368"/>
      </w:pPr>
    </w:p>
    <w:tbl>
      <w:tblPr>
        <w:tblStyle w:val="TableGrid"/>
        <w:tblW w:w="21477" w:type="dxa"/>
        <w:tblInd w:w="-283" w:type="dxa"/>
        <w:tblCellMar>
          <w:top w:w="56" w:type="dxa"/>
          <w:left w:w="46" w:type="dxa"/>
          <w:right w:w="37" w:type="dxa"/>
        </w:tblCellMar>
        <w:tblLook w:val="04A0" w:firstRow="1" w:lastRow="0" w:firstColumn="1" w:lastColumn="0" w:noHBand="0" w:noVBand="1"/>
      </w:tblPr>
      <w:tblGrid>
        <w:gridCol w:w="1354"/>
        <w:gridCol w:w="1798"/>
        <w:gridCol w:w="2208"/>
        <w:gridCol w:w="13155"/>
        <w:gridCol w:w="2962"/>
      </w:tblGrid>
      <w:tr w:rsidR="00F33C03" w14:paraId="7F56BB1C" w14:textId="77777777">
        <w:trPr>
          <w:trHeight w:val="360"/>
        </w:trPr>
        <w:tc>
          <w:tcPr>
            <w:tcW w:w="21477" w:type="dxa"/>
            <w:gridSpan w:val="5"/>
            <w:tcBorders>
              <w:top w:val="single" w:sz="8" w:space="0" w:color="000000"/>
              <w:left w:val="single" w:sz="8" w:space="0" w:color="000000"/>
              <w:bottom w:val="single" w:sz="8" w:space="0" w:color="000000"/>
              <w:right w:val="single" w:sz="8" w:space="0" w:color="000000"/>
            </w:tcBorders>
            <w:shd w:val="clear" w:color="auto" w:fill="B7B7B7"/>
          </w:tcPr>
          <w:p w14:paraId="4F72BA02" w14:textId="77777777" w:rsidR="00F33C03" w:rsidRDefault="00647E24">
            <w:pPr>
              <w:ind w:right="4"/>
              <w:jc w:val="center"/>
            </w:pPr>
            <w:r>
              <w:rPr>
                <w:sz w:val="28"/>
              </w:rPr>
              <w:t>Politika pro ženy a děti</w:t>
            </w:r>
          </w:p>
        </w:tc>
      </w:tr>
      <w:tr w:rsidR="00F33C03" w14:paraId="6EB5C553" w14:textId="77777777">
        <w:trPr>
          <w:trHeight w:val="362"/>
        </w:trPr>
        <w:tc>
          <w:tcPr>
            <w:tcW w:w="1354" w:type="dxa"/>
            <w:tcBorders>
              <w:top w:val="single" w:sz="8" w:space="0" w:color="000000"/>
              <w:left w:val="single" w:sz="8" w:space="0" w:color="000000"/>
              <w:bottom w:val="single" w:sz="8" w:space="0" w:color="000000"/>
              <w:right w:val="single" w:sz="8" w:space="0" w:color="000000"/>
            </w:tcBorders>
            <w:shd w:val="clear" w:color="auto" w:fill="CCCCCC"/>
          </w:tcPr>
          <w:p w14:paraId="3D551FF3" w14:textId="77777777" w:rsidR="00F33C03" w:rsidRDefault="00647E24">
            <w:pPr>
              <w:ind w:left="120"/>
            </w:pPr>
            <w:r>
              <w:rPr>
                <w:sz w:val="28"/>
              </w:rPr>
              <w:t>Kategorie</w:t>
            </w:r>
          </w:p>
        </w:tc>
        <w:tc>
          <w:tcPr>
            <w:tcW w:w="20123" w:type="dxa"/>
            <w:gridSpan w:val="4"/>
            <w:tcBorders>
              <w:top w:val="single" w:sz="8" w:space="0" w:color="000000"/>
              <w:left w:val="single" w:sz="8" w:space="0" w:color="000000"/>
              <w:bottom w:val="single" w:sz="8" w:space="0" w:color="000000"/>
              <w:right w:val="single" w:sz="8" w:space="0" w:color="000000"/>
            </w:tcBorders>
            <w:shd w:val="clear" w:color="auto" w:fill="CCCCCC"/>
          </w:tcPr>
          <w:p w14:paraId="05B79402" w14:textId="77777777" w:rsidR="00F33C03" w:rsidRDefault="00647E24">
            <w:pPr>
              <w:ind w:right="2"/>
              <w:jc w:val="center"/>
            </w:pPr>
            <w:r>
              <w:rPr>
                <w:sz w:val="28"/>
              </w:rPr>
              <w:t>Klíčové politiky a významné momenty ocenění</w:t>
            </w:r>
          </w:p>
        </w:tc>
      </w:tr>
      <w:tr w:rsidR="00F33C03" w14:paraId="22BC762B" w14:textId="77777777">
        <w:trPr>
          <w:trHeight w:val="3562"/>
        </w:trPr>
        <w:tc>
          <w:tcPr>
            <w:tcW w:w="1354" w:type="dxa"/>
            <w:vMerge w:val="restart"/>
            <w:tcBorders>
              <w:top w:val="single" w:sz="8" w:space="0" w:color="000000"/>
              <w:left w:val="single" w:sz="8" w:space="0" w:color="000000"/>
              <w:bottom w:val="single" w:sz="8" w:space="0" w:color="000000"/>
              <w:right w:val="single" w:sz="8" w:space="0" w:color="000000"/>
            </w:tcBorders>
          </w:tcPr>
          <w:p w14:paraId="4E5FEE9F" w14:textId="77777777" w:rsidR="00F33C03" w:rsidRDefault="00647E24">
            <w:pPr>
              <w:spacing w:line="252" w:lineRule="auto"/>
              <w:jc w:val="center"/>
            </w:pPr>
            <w:r>
              <w:rPr>
                <w:sz w:val="28"/>
              </w:rPr>
              <w:t>Ženy a</w:t>
            </w:r>
          </w:p>
          <w:p w14:paraId="51523223" w14:textId="77777777" w:rsidR="00F33C03" w:rsidRDefault="00647E24">
            <w:pPr>
              <w:jc w:val="center"/>
            </w:pPr>
            <w:r>
              <w:rPr>
                <w:sz w:val="28"/>
              </w:rPr>
              <w:t>Politika pro děti</w:t>
            </w:r>
          </w:p>
        </w:tc>
        <w:tc>
          <w:tcPr>
            <w:tcW w:w="20123" w:type="dxa"/>
            <w:gridSpan w:val="4"/>
            <w:tcBorders>
              <w:top w:val="single" w:sz="8" w:space="0" w:color="000000"/>
              <w:left w:val="single" w:sz="8" w:space="0" w:color="000000"/>
              <w:bottom w:val="single" w:sz="8" w:space="0" w:color="000000"/>
              <w:right w:val="single" w:sz="8" w:space="0" w:color="000000"/>
            </w:tcBorders>
            <w:vAlign w:val="center"/>
          </w:tcPr>
          <w:p w14:paraId="595A4387" w14:textId="77777777" w:rsidR="00F33C03" w:rsidRDefault="00647E24">
            <w:pPr>
              <w:spacing w:after="8"/>
            </w:pPr>
            <w:r>
              <w:rPr>
                <w:sz w:val="28"/>
              </w:rPr>
              <w:t>Taoyuan je nejmladší ze šesti speciálních obcí na Tchaj-wanu, nejenže má nejvyšší podíl mladých rodičů, ale také je na prvním místě v rodnosti mezi těmito šesti městy.</w:t>
            </w:r>
          </w:p>
          <w:p w14:paraId="76DD7193" w14:textId="77777777" w:rsidR="00F33C03" w:rsidRDefault="00647E24">
            <w:pPr>
              <w:spacing w:after="19" w:line="252" w:lineRule="auto"/>
              <w:jc w:val="both"/>
            </w:pPr>
            <w:r>
              <w:rPr>
                <w:sz w:val="28"/>
              </w:rPr>
              <w:t>Aby se starala o ženy a malé děti v různých životních fázích a aby se sladilo s mezinárodními trendy v ochraně jejich práv, zřídila městská správa Taoyuan 1. ledna 2024 první specializované oddělení pro rozvoj žen a dětí (DWCD) v zemi.</w:t>
            </w:r>
          </w:p>
          <w:p w14:paraId="285B04F2" w14:textId="77777777" w:rsidR="00F33C03" w:rsidRDefault="00647E24">
            <w:pPr>
              <w:spacing w:after="9"/>
              <w:jc w:val="both"/>
            </w:pPr>
            <w:r>
              <w:rPr>
                <w:sz w:val="28"/>
              </w:rPr>
              <w:t>Oddělení rozvoje žen a dětí (DWCD) se zaměřuje na ženy a malé děti jako své hlavní předměty, nabízí rozmanité služby zaměřené na rodinu a vytváří nezbytná komunitní zařízení. Její poslání je komplexní: posilovat práva žen a rovnost pohlaví, vytvářet prostředí přátelské k dětem, podporovat fyzické a duševní zdraví a blaho žen a dětí a rozvíjet rozmanité podpůrné služby pro nové obyvatele.</w:t>
            </w:r>
          </w:p>
          <w:p w14:paraId="46D98B29" w14:textId="77777777" w:rsidR="00F33C03" w:rsidRDefault="00647E24">
            <w:pPr>
              <w:jc w:val="both"/>
            </w:pPr>
            <w:r>
              <w:rPr>
                <w:sz w:val="28"/>
              </w:rPr>
              <w:t>Podporou žen v rozvoji kariéry a dosažení rovnováhy mezi pracovním a osobním životem, podporou zdravého růstu malých dětí a zajištěním, že se noví obyvatelé mohou pohodlně usadit v Taoyuan, si DWCD klade za cíl komplexně posílit rodinné funkce. To ustanoví město Taoyuan jako město přátelské k ženám i dětem, multietnicky inkluzivní a nakonec naplní cíl obyvatelného města.</w:t>
            </w:r>
          </w:p>
        </w:tc>
      </w:tr>
      <w:tr w:rsidR="00F33C03" w14:paraId="13A206A7" w14:textId="77777777">
        <w:trPr>
          <w:trHeight w:val="362"/>
        </w:trPr>
        <w:tc>
          <w:tcPr>
            <w:tcW w:w="0" w:type="auto"/>
            <w:vMerge/>
            <w:tcBorders>
              <w:top w:val="nil"/>
              <w:left w:val="single" w:sz="8" w:space="0" w:color="000000"/>
              <w:bottom w:val="nil"/>
              <w:right w:val="single" w:sz="8" w:space="0" w:color="000000"/>
            </w:tcBorders>
          </w:tcPr>
          <w:p w14:paraId="330E1408" w14:textId="77777777" w:rsidR="00F33C03" w:rsidRDefault="00F33C03"/>
        </w:tc>
        <w:tc>
          <w:tcPr>
            <w:tcW w:w="4006" w:type="dxa"/>
            <w:gridSpan w:val="2"/>
            <w:tcBorders>
              <w:top w:val="single" w:sz="8" w:space="0" w:color="000000"/>
              <w:left w:val="single" w:sz="8" w:space="0" w:color="000000"/>
              <w:bottom w:val="single" w:sz="8" w:space="0" w:color="000000"/>
              <w:right w:val="single" w:sz="8" w:space="0" w:color="000000"/>
            </w:tcBorders>
            <w:shd w:val="clear" w:color="auto" w:fill="B7B7B7"/>
          </w:tcPr>
          <w:p w14:paraId="3E234A87" w14:textId="77777777" w:rsidR="00F33C03" w:rsidRDefault="00647E24">
            <w:pPr>
              <w:ind w:right="6"/>
              <w:jc w:val="center"/>
            </w:pPr>
            <w:r>
              <w:rPr>
                <w:sz w:val="28"/>
              </w:rPr>
              <w:t>Klíčové politiky</w:t>
            </w:r>
          </w:p>
        </w:tc>
        <w:tc>
          <w:tcPr>
            <w:tcW w:w="13156" w:type="dxa"/>
            <w:tcBorders>
              <w:top w:val="single" w:sz="8" w:space="0" w:color="000000"/>
              <w:left w:val="single" w:sz="8" w:space="0" w:color="000000"/>
              <w:bottom w:val="single" w:sz="8" w:space="0" w:color="000000"/>
              <w:right w:val="single" w:sz="8" w:space="0" w:color="000000"/>
            </w:tcBorders>
            <w:shd w:val="clear" w:color="auto" w:fill="B7B7B7"/>
          </w:tcPr>
          <w:p w14:paraId="6AEEEBCA" w14:textId="77777777" w:rsidR="00F33C03" w:rsidRDefault="00647E24">
            <w:pPr>
              <w:ind w:right="2"/>
              <w:jc w:val="center"/>
            </w:pPr>
            <w:r>
              <w:rPr>
                <w:sz w:val="28"/>
              </w:rPr>
              <w:t>Popis</w:t>
            </w:r>
          </w:p>
        </w:tc>
        <w:tc>
          <w:tcPr>
            <w:tcW w:w="2962" w:type="dxa"/>
            <w:tcBorders>
              <w:top w:val="single" w:sz="8" w:space="0" w:color="000000"/>
              <w:left w:val="single" w:sz="8" w:space="0" w:color="000000"/>
              <w:bottom w:val="single" w:sz="8" w:space="0" w:color="000000"/>
              <w:right w:val="single" w:sz="8" w:space="0" w:color="000000"/>
            </w:tcBorders>
            <w:shd w:val="clear" w:color="auto" w:fill="B7B7B7"/>
          </w:tcPr>
          <w:p w14:paraId="6AD8A0E9" w14:textId="77777777" w:rsidR="00F33C03" w:rsidRDefault="00647E24">
            <w:r>
              <w:rPr>
                <w:sz w:val="28"/>
              </w:rPr>
              <w:t>Ocenění</w:t>
            </w:r>
          </w:p>
        </w:tc>
      </w:tr>
      <w:tr w:rsidR="00F33C03" w14:paraId="03491725" w14:textId="77777777">
        <w:trPr>
          <w:trHeight w:val="1090"/>
        </w:trPr>
        <w:tc>
          <w:tcPr>
            <w:tcW w:w="0" w:type="auto"/>
            <w:vMerge/>
            <w:tcBorders>
              <w:top w:val="nil"/>
              <w:left w:val="single" w:sz="8" w:space="0" w:color="000000"/>
              <w:bottom w:val="nil"/>
              <w:right w:val="single" w:sz="8" w:space="0" w:color="000000"/>
            </w:tcBorders>
          </w:tcPr>
          <w:p w14:paraId="49E5FFD2" w14:textId="77777777" w:rsidR="00F33C03" w:rsidRDefault="00F33C03"/>
        </w:tc>
        <w:tc>
          <w:tcPr>
            <w:tcW w:w="1798" w:type="dxa"/>
            <w:vMerge w:val="restart"/>
            <w:tcBorders>
              <w:top w:val="single" w:sz="8" w:space="0" w:color="000000"/>
              <w:left w:val="single" w:sz="8" w:space="0" w:color="000000"/>
              <w:bottom w:val="single" w:sz="8" w:space="0" w:color="000000"/>
              <w:right w:val="single" w:sz="8" w:space="0" w:color="000000"/>
            </w:tcBorders>
            <w:vAlign w:val="center"/>
          </w:tcPr>
          <w:p w14:paraId="1793FC40" w14:textId="77777777" w:rsidR="00F33C03" w:rsidRDefault="00647E24">
            <w:r>
              <w:rPr>
                <w:sz w:val="28"/>
              </w:rPr>
              <w:t>Propagace</w:t>
            </w:r>
          </w:p>
          <w:p w14:paraId="2340D860" w14:textId="77777777" w:rsidR="00F33C03" w:rsidRDefault="00647E24">
            <w:r>
              <w:rPr>
                <w:sz w:val="28"/>
              </w:rPr>
              <w:t>Ženský</w:t>
            </w:r>
          </w:p>
          <w:p w14:paraId="09B9AC67" w14:textId="77777777" w:rsidR="00F33C03" w:rsidRDefault="00647E24">
            <w:r>
              <w:rPr>
                <w:sz w:val="28"/>
              </w:rPr>
              <w:t>Rovnost</w:t>
            </w:r>
          </w:p>
        </w:tc>
        <w:tc>
          <w:tcPr>
            <w:tcW w:w="2208" w:type="dxa"/>
            <w:tcBorders>
              <w:top w:val="single" w:sz="8" w:space="0" w:color="000000"/>
              <w:left w:val="single" w:sz="8" w:space="0" w:color="000000"/>
              <w:bottom w:val="single" w:sz="8" w:space="0" w:color="000000"/>
              <w:right w:val="single" w:sz="8" w:space="0" w:color="000000"/>
            </w:tcBorders>
            <w:vAlign w:val="center"/>
          </w:tcPr>
          <w:p w14:paraId="33179082" w14:textId="77777777" w:rsidR="00F33C03" w:rsidRDefault="00647E24">
            <w:pPr>
              <w:jc w:val="both"/>
            </w:pPr>
            <w:r>
              <w:rPr>
                <w:sz w:val="28"/>
              </w:rPr>
              <w:t>Den dívek v Taoyuanu</w:t>
            </w:r>
          </w:p>
        </w:tc>
        <w:tc>
          <w:tcPr>
            <w:tcW w:w="13156" w:type="dxa"/>
            <w:tcBorders>
              <w:top w:val="single" w:sz="8" w:space="0" w:color="000000"/>
              <w:left w:val="single" w:sz="8" w:space="0" w:color="000000"/>
              <w:bottom w:val="single" w:sz="8" w:space="0" w:color="000000"/>
              <w:right w:val="single" w:sz="8" w:space="0" w:color="000000"/>
            </w:tcBorders>
          </w:tcPr>
          <w:p w14:paraId="2A0FA1B2" w14:textId="77777777" w:rsidR="00F33C03" w:rsidRDefault="00647E24">
            <w:pPr>
              <w:ind w:right="3"/>
              <w:jc w:val="both"/>
            </w:pPr>
            <w:r>
              <w:rPr>
                <w:sz w:val="28"/>
              </w:rPr>
              <w:t>V reakci na to, že OSN vyhlásila 11. říjen za Mezinárodní den dívek (běžně známý jako "Den dívčích dnů"), městská správa Taoyuanu pořádá sérii akcí k Dni dívek v Taoyuanu. Tyto aktivity jsou navrženy tak, aby podporovaly a posilovaly ducha dívek.</w:t>
            </w:r>
          </w:p>
        </w:tc>
        <w:tc>
          <w:tcPr>
            <w:tcW w:w="2962" w:type="dxa"/>
            <w:tcBorders>
              <w:top w:val="single" w:sz="8" w:space="0" w:color="000000"/>
              <w:left w:val="single" w:sz="8" w:space="0" w:color="000000"/>
              <w:bottom w:val="single" w:sz="8" w:space="0" w:color="000000"/>
              <w:right w:val="single" w:sz="8" w:space="0" w:color="000000"/>
            </w:tcBorders>
          </w:tcPr>
          <w:p w14:paraId="34BAF4AB" w14:textId="77777777" w:rsidR="00F33C03" w:rsidRDefault="00F33C03"/>
        </w:tc>
      </w:tr>
      <w:tr w:rsidR="00F33C03" w14:paraId="68B7CD56" w14:textId="77777777">
        <w:trPr>
          <w:trHeight w:val="2906"/>
        </w:trPr>
        <w:tc>
          <w:tcPr>
            <w:tcW w:w="0" w:type="auto"/>
            <w:vMerge/>
            <w:tcBorders>
              <w:top w:val="nil"/>
              <w:left w:val="single" w:sz="8" w:space="0" w:color="000000"/>
              <w:bottom w:val="nil"/>
              <w:right w:val="single" w:sz="8" w:space="0" w:color="000000"/>
            </w:tcBorders>
          </w:tcPr>
          <w:p w14:paraId="2609A3CF" w14:textId="77777777" w:rsidR="00F33C03" w:rsidRDefault="00F33C03"/>
        </w:tc>
        <w:tc>
          <w:tcPr>
            <w:tcW w:w="0" w:type="auto"/>
            <w:vMerge/>
            <w:tcBorders>
              <w:top w:val="nil"/>
              <w:left w:val="single" w:sz="8" w:space="0" w:color="000000"/>
              <w:bottom w:val="nil"/>
              <w:right w:val="single" w:sz="8" w:space="0" w:color="000000"/>
            </w:tcBorders>
          </w:tcPr>
          <w:p w14:paraId="5ADE0CF9"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13A495F6" w14:textId="77777777" w:rsidR="00F33C03" w:rsidRDefault="00647E24">
            <w:pPr>
              <w:spacing w:line="252" w:lineRule="auto"/>
            </w:pPr>
            <w:r>
              <w:rPr>
                <w:sz w:val="28"/>
              </w:rPr>
              <w:t>Podpora menstruační rovnosti uvedením</w:t>
            </w:r>
          </w:p>
          <w:p w14:paraId="2C19A841" w14:textId="77777777" w:rsidR="00F33C03" w:rsidRDefault="00647E24">
            <w:r>
              <w:rPr>
                <w:sz w:val="28"/>
              </w:rPr>
              <w:t>"Diversifikované</w:t>
            </w:r>
          </w:p>
          <w:p w14:paraId="6F588DB1" w14:textId="77777777" w:rsidR="00F33C03" w:rsidRDefault="00647E24">
            <w:r>
              <w:rPr>
                <w:sz w:val="28"/>
              </w:rPr>
              <w:t>Menstruační</w:t>
            </w:r>
          </w:p>
          <w:p w14:paraId="3340B577" w14:textId="77777777" w:rsidR="00F33C03" w:rsidRDefault="00647E24">
            <w:r>
              <w:rPr>
                <w:sz w:val="28"/>
              </w:rPr>
              <w:t>Produkt</w:t>
            </w:r>
          </w:p>
          <w:p w14:paraId="547E5AF0" w14:textId="77777777" w:rsidR="00F33C03" w:rsidRDefault="00647E24">
            <w:r>
              <w:rPr>
                <w:sz w:val="28"/>
              </w:rPr>
              <w:t>Dávkovač"</w:t>
            </w:r>
          </w:p>
        </w:tc>
        <w:tc>
          <w:tcPr>
            <w:tcW w:w="13156" w:type="dxa"/>
            <w:tcBorders>
              <w:top w:val="single" w:sz="8" w:space="0" w:color="000000"/>
              <w:left w:val="single" w:sz="8" w:space="0" w:color="000000"/>
              <w:bottom w:val="single" w:sz="8" w:space="0" w:color="000000"/>
              <w:right w:val="single" w:sz="8" w:space="0" w:color="000000"/>
            </w:tcBorders>
            <w:vAlign w:val="center"/>
          </w:tcPr>
          <w:p w14:paraId="0E7398AF" w14:textId="77777777" w:rsidR="00F33C03" w:rsidRDefault="00647E24">
            <w:pPr>
              <w:spacing w:after="9"/>
              <w:ind w:right="2"/>
              <w:jc w:val="both"/>
            </w:pPr>
            <w:r>
              <w:rPr>
                <w:sz w:val="28"/>
              </w:rPr>
              <w:t>Aby se vyřešila situace, které ženy čelí při nečekaném nedostatku menstruačních potřeb, DWCD ve spolupráci se sekretariátem instalovala různé dávkovače menstruačních přípravků v dámských toaletách v prvním patře radnice.</w:t>
            </w:r>
          </w:p>
          <w:p w14:paraId="03B52FD8" w14:textId="77777777" w:rsidR="00F33C03" w:rsidRDefault="00647E24">
            <w:pPr>
              <w:ind w:right="3"/>
              <w:jc w:val="both"/>
            </w:pPr>
            <w:r>
              <w:rPr>
                <w:sz w:val="28"/>
              </w:rPr>
              <w:t>Uživatelé mohou jednoduše naskenovat QR kód svým mobilním telefonem a vybrat si tak buď pásové vložky, nebo tampony. Celý proces je navržen tak, aby byl jednoduchý, rychlý a vysoce diskrétní. Tato iniciativa slouží jako standardní model pro vytváření genderově přátelských prostor ve veřejném sektoru a aktivně podporuje menstruační rovnost.</w:t>
            </w:r>
          </w:p>
        </w:tc>
        <w:tc>
          <w:tcPr>
            <w:tcW w:w="2962" w:type="dxa"/>
            <w:tcBorders>
              <w:top w:val="single" w:sz="8" w:space="0" w:color="000000"/>
              <w:left w:val="single" w:sz="8" w:space="0" w:color="000000"/>
              <w:bottom w:val="single" w:sz="8" w:space="0" w:color="000000"/>
              <w:right w:val="single" w:sz="8" w:space="0" w:color="000000"/>
            </w:tcBorders>
          </w:tcPr>
          <w:p w14:paraId="58F922C5" w14:textId="77777777" w:rsidR="00F33C03" w:rsidRDefault="00F33C03"/>
        </w:tc>
      </w:tr>
      <w:tr w:rsidR="00F33C03" w14:paraId="50D8D312" w14:textId="77777777">
        <w:trPr>
          <w:trHeight w:val="1455"/>
        </w:trPr>
        <w:tc>
          <w:tcPr>
            <w:tcW w:w="0" w:type="auto"/>
            <w:vMerge/>
            <w:tcBorders>
              <w:top w:val="nil"/>
              <w:left w:val="single" w:sz="8" w:space="0" w:color="000000"/>
              <w:bottom w:val="nil"/>
              <w:right w:val="single" w:sz="8" w:space="0" w:color="000000"/>
            </w:tcBorders>
          </w:tcPr>
          <w:p w14:paraId="6E4D3A0D" w14:textId="77777777" w:rsidR="00F33C03" w:rsidRDefault="00F33C03"/>
        </w:tc>
        <w:tc>
          <w:tcPr>
            <w:tcW w:w="0" w:type="auto"/>
            <w:vMerge/>
            <w:tcBorders>
              <w:top w:val="nil"/>
              <w:left w:val="single" w:sz="8" w:space="0" w:color="000000"/>
              <w:bottom w:val="single" w:sz="8" w:space="0" w:color="000000"/>
              <w:right w:val="single" w:sz="8" w:space="0" w:color="000000"/>
            </w:tcBorders>
          </w:tcPr>
          <w:p w14:paraId="23B8EE73"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tcPr>
          <w:p w14:paraId="08A070A5" w14:textId="77777777" w:rsidR="00F33C03" w:rsidRDefault="00647E24">
            <w:r>
              <w:rPr>
                <w:sz w:val="28"/>
              </w:rPr>
              <w:t>Taoyuan 2025</w:t>
            </w:r>
          </w:p>
          <w:p w14:paraId="0E0E2CA2" w14:textId="77777777" w:rsidR="00F33C03" w:rsidRDefault="00647E24">
            <w:pPr>
              <w:spacing w:line="252" w:lineRule="auto"/>
            </w:pPr>
            <w:r>
              <w:rPr>
                <w:sz w:val="28"/>
              </w:rPr>
              <w:t>Den žen – Ženský digitální program</w:t>
            </w:r>
          </w:p>
          <w:p w14:paraId="50D2E94A" w14:textId="77777777" w:rsidR="00F33C03" w:rsidRDefault="00647E24">
            <w:r>
              <w:rPr>
                <w:sz w:val="28"/>
              </w:rPr>
              <w:t>Ekonomické fórum</w:t>
            </w:r>
          </w:p>
        </w:tc>
        <w:tc>
          <w:tcPr>
            <w:tcW w:w="13156" w:type="dxa"/>
            <w:tcBorders>
              <w:top w:val="single" w:sz="8" w:space="0" w:color="000000"/>
              <w:left w:val="single" w:sz="8" w:space="0" w:color="000000"/>
              <w:bottom w:val="single" w:sz="8" w:space="0" w:color="000000"/>
              <w:right w:val="single" w:sz="8" w:space="0" w:color="000000"/>
            </w:tcBorders>
          </w:tcPr>
          <w:p w14:paraId="464C9CB1" w14:textId="77777777" w:rsidR="00F33C03" w:rsidRDefault="00647E24">
            <w:pPr>
              <w:spacing w:after="19" w:line="252" w:lineRule="auto"/>
              <w:jc w:val="both"/>
            </w:pPr>
            <w:r>
              <w:rPr>
                <w:sz w:val="28"/>
              </w:rPr>
              <w:t>V reakci na Mezinárodní den žen městská vláda Taoyuan speciálně uspořádala Fórum digitální ekonomiky žen.</w:t>
            </w:r>
          </w:p>
          <w:p w14:paraId="0423FFDB" w14:textId="77777777" w:rsidR="00F33C03" w:rsidRDefault="00647E24">
            <w:pPr>
              <w:jc w:val="both"/>
            </w:pPr>
            <w:r>
              <w:rPr>
                <w:sz w:val="28"/>
              </w:rPr>
              <w:t>Odborníci a vědci z průmyslu, vlády a akademické sféry byli pozváni, aby společně prozkoumali měnící se role, podnikatelské příležitosti a výzvy, kterým ženy čelí v digitální ekonomice.</w:t>
            </w:r>
          </w:p>
        </w:tc>
        <w:tc>
          <w:tcPr>
            <w:tcW w:w="2962" w:type="dxa"/>
            <w:tcBorders>
              <w:top w:val="single" w:sz="8" w:space="0" w:color="000000"/>
              <w:left w:val="single" w:sz="8" w:space="0" w:color="000000"/>
              <w:bottom w:val="single" w:sz="8" w:space="0" w:color="000000"/>
              <w:right w:val="single" w:sz="8" w:space="0" w:color="000000"/>
            </w:tcBorders>
          </w:tcPr>
          <w:p w14:paraId="741B27F5" w14:textId="77777777" w:rsidR="00F33C03" w:rsidRDefault="00F33C03"/>
        </w:tc>
      </w:tr>
      <w:tr w:rsidR="00F33C03" w14:paraId="4C1FF2CF" w14:textId="77777777">
        <w:trPr>
          <w:trHeight w:val="2544"/>
        </w:trPr>
        <w:tc>
          <w:tcPr>
            <w:tcW w:w="0" w:type="auto"/>
            <w:vMerge/>
            <w:tcBorders>
              <w:top w:val="nil"/>
              <w:left w:val="single" w:sz="8" w:space="0" w:color="000000"/>
              <w:bottom w:val="single" w:sz="8" w:space="0" w:color="000000"/>
              <w:right w:val="single" w:sz="8" w:space="0" w:color="000000"/>
            </w:tcBorders>
          </w:tcPr>
          <w:p w14:paraId="29263720" w14:textId="77777777" w:rsidR="00F33C03" w:rsidRDefault="00F33C03"/>
        </w:tc>
        <w:tc>
          <w:tcPr>
            <w:tcW w:w="1798" w:type="dxa"/>
            <w:tcBorders>
              <w:top w:val="single" w:sz="8" w:space="0" w:color="000000"/>
              <w:left w:val="single" w:sz="8" w:space="0" w:color="000000"/>
              <w:bottom w:val="single" w:sz="8" w:space="0" w:color="000000"/>
              <w:right w:val="single" w:sz="8" w:space="0" w:color="000000"/>
            </w:tcBorders>
          </w:tcPr>
          <w:p w14:paraId="3A1D9B72"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1CE12F92" w14:textId="77777777" w:rsidR="00F33C03" w:rsidRDefault="00647E24">
            <w:pPr>
              <w:jc w:val="both"/>
            </w:pPr>
            <w:r>
              <w:rPr>
                <w:sz w:val="28"/>
              </w:rPr>
              <w:t>Vypuštění vejce</w:t>
            </w:r>
          </w:p>
          <w:p w14:paraId="05EAAEA3" w14:textId="77777777" w:rsidR="00F33C03" w:rsidRDefault="00647E24">
            <w:r>
              <w:rPr>
                <w:sz w:val="28"/>
              </w:rPr>
              <w:t>Zmrazení</w:t>
            </w:r>
          </w:p>
          <w:p w14:paraId="173A5858" w14:textId="77777777" w:rsidR="00F33C03" w:rsidRDefault="00647E24">
            <w:r>
              <w:rPr>
                <w:sz w:val="28"/>
              </w:rPr>
              <w:t>Výživa</w:t>
            </w:r>
          </w:p>
          <w:p w14:paraId="345BD321" w14:textId="77777777" w:rsidR="00F33C03" w:rsidRDefault="00647E24">
            <w:r>
              <w:rPr>
                <w:sz w:val="28"/>
              </w:rPr>
              <w:t>Program dotací</w:t>
            </w:r>
          </w:p>
        </w:tc>
        <w:tc>
          <w:tcPr>
            <w:tcW w:w="13156" w:type="dxa"/>
            <w:tcBorders>
              <w:top w:val="single" w:sz="8" w:space="0" w:color="000000"/>
              <w:left w:val="single" w:sz="8" w:space="0" w:color="000000"/>
              <w:bottom w:val="single" w:sz="8" w:space="0" w:color="000000"/>
              <w:right w:val="single" w:sz="8" w:space="0" w:color="000000"/>
            </w:tcBorders>
          </w:tcPr>
          <w:p w14:paraId="41BF6471" w14:textId="77777777" w:rsidR="00F33C03" w:rsidRDefault="00647E24">
            <w:pPr>
              <w:spacing w:after="6" w:line="261" w:lineRule="auto"/>
              <w:ind w:right="2"/>
              <w:jc w:val="both"/>
            </w:pPr>
            <w:r>
              <w:rPr>
                <w:sz w:val="28"/>
              </w:rPr>
              <w:t>Městská správa Taoyuan zahajuje program "Nutriční dotace na zmrazení vajec" s komplexním cílem: podpořit ochotu žen rodit děti a zároveň chránit jejich kariérní rozvoj, seberealizaci a právo volby, čímž podpoří zdraví další generace a celkovou rodinnou spokojenost.</w:t>
            </w:r>
          </w:p>
          <w:p w14:paraId="667D1984" w14:textId="77777777" w:rsidR="00F33C03" w:rsidRDefault="00647E24">
            <w:pPr>
              <w:ind w:right="2"/>
              <w:jc w:val="both"/>
            </w:pPr>
            <w:r>
              <w:rPr>
                <w:sz w:val="28"/>
              </w:rPr>
              <w:t>Tento program nabízí dotace ženám ve věku 25 až 40 let, které jsou registrovanými obyvatelkami Taoyuanu nebo jejichž manželé. Dotace je také poskytována ženám mladším 25 let, kterým byla diagnostikována rakovina a lékařem vyhodnocena jako ohrožená neplodností kvůli jejich rakovině nebo její léčbě.</w:t>
            </w:r>
          </w:p>
        </w:tc>
        <w:tc>
          <w:tcPr>
            <w:tcW w:w="2962" w:type="dxa"/>
            <w:tcBorders>
              <w:top w:val="single" w:sz="8" w:space="0" w:color="000000"/>
              <w:left w:val="single" w:sz="8" w:space="0" w:color="000000"/>
              <w:bottom w:val="single" w:sz="8" w:space="0" w:color="000000"/>
              <w:right w:val="single" w:sz="8" w:space="0" w:color="000000"/>
            </w:tcBorders>
          </w:tcPr>
          <w:p w14:paraId="6848CE51" w14:textId="77777777" w:rsidR="00F33C03" w:rsidRDefault="00F33C03"/>
        </w:tc>
      </w:tr>
    </w:tbl>
    <w:p w14:paraId="00B2D2EF" w14:textId="77777777" w:rsidR="00F33C03" w:rsidRDefault="00F33C03">
      <w:pPr>
        <w:spacing w:after="0"/>
        <w:ind w:left="-1440" w:right="22368"/>
      </w:pPr>
    </w:p>
    <w:tbl>
      <w:tblPr>
        <w:tblStyle w:val="TableGrid"/>
        <w:tblW w:w="21482" w:type="dxa"/>
        <w:tblInd w:w="-286" w:type="dxa"/>
        <w:tblCellMar>
          <w:top w:w="73" w:type="dxa"/>
          <w:left w:w="46" w:type="dxa"/>
          <w:right w:w="40" w:type="dxa"/>
        </w:tblCellMar>
        <w:tblLook w:val="04A0" w:firstRow="1" w:lastRow="0" w:firstColumn="1" w:lastColumn="0" w:noHBand="0" w:noVBand="1"/>
      </w:tblPr>
      <w:tblGrid>
        <w:gridCol w:w="1356"/>
        <w:gridCol w:w="1798"/>
        <w:gridCol w:w="2208"/>
        <w:gridCol w:w="13156"/>
        <w:gridCol w:w="2964"/>
      </w:tblGrid>
      <w:tr w:rsidR="00F33C03" w14:paraId="45B29AF5" w14:textId="77777777">
        <w:trPr>
          <w:trHeight w:val="3272"/>
        </w:trPr>
        <w:tc>
          <w:tcPr>
            <w:tcW w:w="1356" w:type="dxa"/>
            <w:vMerge w:val="restart"/>
            <w:tcBorders>
              <w:top w:val="single" w:sz="8" w:space="0" w:color="000000"/>
              <w:left w:val="single" w:sz="8" w:space="0" w:color="000000"/>
              <w:bottom w:val="single" w:sz="8" w:space="0" w:color="000000"/>
              <w:right w:val="single" w:sz="8" w:space="0" w:color="000000"/>
            </w:tcBorders>
          </w:tcPr>
          <w:p w14:paraId="6752C53B" w14:textId="77777777" w:rsidR="00F33C03" w:rsidRDefault="00F33C03"/>
        </w:tc>
        <w:tc>
          <w:tcPr>
            <w:tcW w:w="1798" w:type="dxa"/>
            <w:vMerge w:val="restart"/>
            <w:tcBorders>
              <w:top w:val="single" w:sz="8" w:space="0" w:color="000000"/>
              <w:left w:val="single" w:sz="8" w:space="0" w:color="000000"/>
              <w:bottom w:val="single" w:sz="8" w:space="0" w:color="000000"/>
              <w:right w:val="single" w:sz="8" w:space="0" w:color="000000"/>
            </w:tcBorders>
          </w:tcPr>
          <w:p w14:paraId="6D65614B" w14:textId="77777777" w:rsidR="00F33C03" w:rsidRDefault="00647E24">
            <w:r>
              <w:rPr>
                <w:sz w:val="28"/>
              </w:rPr>
              <w:t>Vylepšení</w:t>
            </w:r>
          </w:p>
          <w:p w14:paraId="65525F06" w14:textId="77777777" w:rsidR="00F33C03" w:rsidRDefault="00647E24">
            <w:r>
              <w:rPr>
                <w:sz w:val="28"/>
              </w:rPr>
              <w:t>Zdraví a</w:t>
            </w:r>
          </w:p>
          <w:p w14:paraId="24144EDC" w14:textId="77777777" w:rsidR="00F33C03" w:rsidRDefault="00647E24">
            <w:r>
              <w:rPr>
                <w:sz w:val="28"/>
              </w:rPr>
              <w:t>Blaho</w:t>
            </w:r>
          </w:p>
          <w:p w14:paraId="3A22140E" w14:textId="77777777" w:rsidR="00F33C03" w:rsidRDefault="00647E24">
            <w:r>
              <w:rPr>
                <w:sz w:val="28"/>
              </w:rPr>
              <w:t>Ženy a</w:t>
            </w:r>
          </w:p>
          <w:p w14:paraId="48683786" w14:textId="77777777" w:rsidR="00F33C03" w:rsidRDefault="00647E24">
            <w:r>
              <w:rPr>
                <w:sz w:val="28"/>
              </w:rPr>
              <w:t>Děti</w:t>
            </w:r>
          </w:p>
        </w:tc>
        <w:tc>
          <w:tcPr>
            <w:tcW w:w="2208" w:type="dxa"/>
            <w:tcBorders>
              <w:top w:val="single" w:sz="8" w:space="0" w:color="000000"/>
              <w:left w:val="single" w:sz="8" w:space="0" w:color="000000"/>
              <w:bottom w:val="single" w:sz="8" w:space="0" w:color="000000"/>
              <w:right w:val="single" w:sz="8" w:space="0" w:color="000000"/>
            </w:tcBorders>
            <w:vAlign w:val="center"/>
          </w:tcPr>
          <w:p w14:paraId="6126F2BC" w14:textId="77777777" w:rsidR="00F33C03" w:rsidRDefault="00647E24">
            <w:r>
              <w:rPr>
                <w:sz w:val="28"/>
              </w:rPr>
              <w:t>Poskytování</w:t>
            </w:r>
          </w:p>
          <w:p w14:paraId="2E3AF515" w14:textId="77777777" w:rsidR="00F33C03" w:rsidRDefault="00647E24">
            <w:r>
              <w:rPr>
                <w:sz w:val="28"/>
              </w:rPr>
              <w:t>Komplexní péče od předtěhotenství až po poporodní období</w:t>
            </w:r>
          </w:p>
        </w:tc>
        <w:tc>
          <w:tcPr>
            <w:tcW w:w="13156" w:type="dxa"/>
            <w:tcBorders>
              <w:top w:val="single" w:sz="8" w:space="0" w:color="000000"/>
              <w:left w:val="single" w:sz="8" w:space="0" w:color="000000"/>
              <w:bottom w:val="single" w:sz="8" w:space="0" w:color="000000"/>
              <w:right w:val="single" w:sz="8" w:space="0" w:color="000000"/>
            </w:tcBorders>
          </w:tcPr>
          <w:p w14:paraId="26D8F7DA" w14:textId="77777777" w:rsidR="00F33C03" w:rsidRDefault="00647E24">
            <w:pPr>
              <w:spacing w:after="4" w:line="262" w:lineRule="auto"/>
              <w:jc w:val="both"/>
            </w:pPr>
            <w:r>
              <w:rPr>
                <w:sz w:val="28"/>
              </w:rPr>
              <w:t>Městský program dotace Zdravá a šťastná rodina nabízí dotace na předtěhotenské zdravotní prohlídky pro muže i ženy, kromě testování na vzácná onemocnění. Tato podpora má za cíl poskytnout ženám pokročilejší lékařskou pomoc během prenatálních kontrol. Aby se také řešilo duševní zdraví žen po porodu, město vede Tchaj-wan zavedením prvního programu "Psychologického poradenství při poporodní depresi", který nabízí psychologické poradenství a tradiční léčbu čínské medicíny ženám do šesti měsíců po porodu.</w:t>
            </w:r>
          </w:p>
          <w:p w14:paraId="6CA93C23" w14:textId="77777777" w:rsidR="00F33C03" w:rsidRDefault="00647E24">
            <w:pPr>
              <w:jc w:val="both"/>
            </w:pPr>
            <w:r>
              <w:rPr>
                <w:sz w:val="28"/>
              </w:rPr>
              <w:t>Dále propagujeme "Komplexní program péče pro těhotné a poporodní ženy." Tento program vede zlepšení perinatálního programu sledování a péče o matky a kojence s vysokým rizikem na Ministerstvu zdravotnictví a sociálních služeb tím, že výrazně rozšiřuje okruh příjemců služeb.</w:t>
            </w:r>
          </w:p>
        </w:tc>
        <w:tc>
          <w:tcPr>
            <w:tcW w:w="2964" w:type="dxa"/>
            <w:tcBorders>
              <w:top w:val="single" w:sz="8" w:space="0" w:color="000000"/>
              <w:left w:val="single" w:sz="8" w:space="0" w:color="000000"/>
              <w:bottom w:val="single" w:sz="8" w:space="0" w:color="000000"/>
              <w:right w:val="single" w:sz="8" w:space="0" w:color="000000"/>
            </w:tcBorders>
            <w:vAlign w:val="center"/>
          </w:tcPr>
          <w:p w14:paraId="3374F1AB" w14:textId="77777777" w:rsidR="00F33C03" w:rsidRDefault="00647E24">
            <w:r>
              <w:rPr>
                <w:sz w:val="28"/>
              </w:rPr>
              <w:t>"Poporodní období</w:t>
            </w:r>
          </w:p>
          <w:p w14:paraId="2867F6C7" w14:textId="77777777" w:rsidR="00F33C03" w:rsidRDefault="00647E24">
            <w:r>
              <w:rPr>
                <w:sz w:val="28"/>
              </w:rPr>
              <w:t>Poradenství při depresi</w:t>
            </w:r>
          </w:p>
          <w:p w14:paraId="3772F8F9" w14:textId="77777777" w:rsidR="00F33C03" w:rsidRDefault="00647E24">
            <w:r>
              <w:rPr>
                <w:sz w:val="28"/>
              </w:rPr>
              <w:t>Program" vyhrál</w:t>
            </w:r>
          </w:p>
          <w:p w14:paraId="50C649A3" w14:textId="77777777" w:rsidR="00F33C03" w:rsidRDefault="00647E24">
            <w:r>
              <w:rPr>
                <w:sz w:val="28"/>
              </w:rPr>
              <w:t>"Rovnost pohlaví</w:t>
            </w:r>
          </w:p>
          <w:p w14:paraId="6203E29B" w14:textId="77777777" w:rsidR="00F33C03" w:rsidRDefault="00647E24">
            <w:pPr>
              <w:jc w:val="both"/>
            </w:pPr>
            <w:r>
              <w:rPr>
                <w:sz w:val="28"/>
              </w:rPr>
              <w:t>Cena za inovace" na</w:t>
            </w:r>
          </w:p>
          <w:p w14:paraId="4A193FD5" w14:textId="77777777" w:rsidR="00F33C03" w:rsidRDefault="00647E24">
            <w:pPr>
              <w:ind w:right="17"/>
            </w:pPr>
            <w:r>
              <w:rPr>
                <w:sz w:val="28"/>
              </w:rPr>
              <w:t>23. Zlaté srdce (Cena Jin Xin) od Výkonného jüanu.</w:t>
            </w:r>
          </w:p>
        </w:tc>
      </w:tr>
      <w:tr w:rsidR="00F33C03" w14:paraId="5BAB57DF" w14:textId="77777777">
        <w:trPr>
          <w:trHeight w:val="1454"/>
        </w:trPr>
        <w:tc>
          <w:tcPr>
            <w:tcW w:w="0" w:type="auto"/>
            <w:vMerge/>
            <w:tcBorders>
              <w:top w:val="nil"/>
              <w:left w:val="single" w:sz="8" w:space="0" w:color="000000"/>
              <w:bottom w:val="nil"/>
              <w:right w:val="single" w:sz="8" w:space="0" w:color="000000"/>
            </w:tcBorders>
          </w:tcPr>
          <w:p w14:paraId="6FEF74E7" w14:textId="77777777" w:rsidR="00F33C03" w:rsidRDefault="00F33C03"/>
        </w:tc>
        <w:tc>
          <w:tcPr>
            <w:tcW w:w="0" w:type="auto"/>
            <w:vMerge/>
            <w:tcBorders>
              <w:top w:val="nil"/>
              <w:left w:val="single" w:sz="8" w:space="0" w:color="000000"/>
              <w:bottom w:val="nil"/>
              <w:right w:val="single" w:sz="8" w:space="0" w:color="000000"/>
            </w:tcBorders>
          </w:tcPr>
          <w:p w14:paraId="5064C232"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tcPr>
          <w:p w14:paraId="447AD0CE" w14:textId="77777777" w:rsidR="00F33C03" w:rsidRDefault="00647E24">
            <w:pPr>
              <w:jc w:val="both"/>
            </w:pPr>
            <w:r>
              <w:rPr>
                <w:sz w:val="28"/>
              </w:rPr>
              <w:t>Mateřské cvičení</w:t>
            </w:r>
          </w:p>
          <w:p w14:paraId="36A9441B" w14:textId="77777777" w:rsidR="00F33C03" w:rsidRDefault="00647E24">
            <w:r>
              <w:rPr>
                <w:sz w:val="28"/>
              </w:rPr>
              <w:t>Třídy</w:t>
            </w:r>
          </w:p>
          <w:p w14:paraId="16A68E69" w14:textId="77777777" w:rsidR="00F33C03" w:rsidRDefault="00647E24">
            <w:r>
              <w:rPr>
                <w:sz w:val="28"/>
              </w:rPr>
              <w:t>(Těhotenství a</w:t>
            </w:r>
          </w:p>
          <w:p w14:paraId="0EB21A61" w14:textId="77777777" w:rsidR="00F33C03" w:rsidRDefault="00647E24">
            <w:r>
              <w:rPr>
                <w:sz w:val="28"/>
              </w:rPr>
              <w:t>Poporodní období)</w:t>
            </w:r>
          </w:p>
        </w:tc>
        <w:tc>
          <w:tcPr>
            <w:tcW w:w="13156" w:type="dxa"/>
            <w:tcBorders>
              <w:top w:val="single" w:sz="8" w:space="0" w:color="000000"/>
              <w:left w:val="single" w:sz="8" w:space="0" w:color="000000"/>
              <w:bottom w:val="single" w:sz="8" w:space="0" w:color="000000"/>
              <w:right w:val="single" w:sz="8" w:space="0" w:color="000000"/>
            </w:tcBorders>
            <w:vAlign w:val="center"/>
          </w:tcPr>
          <w:p w14:paraId="61AAB29C" w14:textId="77777777" w:rsidR="00F33C03" w:rsidRDefault="00647E24">
            <w:pPr>
              <w:jc w:val="both"/>
            </w:pPr>
            <w:r>
              <w:rPr>
                <w:sz w:val="28"/>
              </w:rPr>
              <w:t>Tento kurz nabízí cvičení vhodná pro každou fázi těhotenství a poskytuje komplexní podporu mateřství i poporodu. Program pomáhá matkám dosáhnout zdravého a šťastného života jak během těhotenství, tak v poporodním období.</w:t>
            </w:r>
          </w:p>
        </w:tc>
        <w:tc>
          <w:tcPr>
            <w:tcW w:w="2964" w:type="dxa"/>
            <w:tcBorders>
              <w:top w:val="single" w:sz="8" w:space="0" w:color="000000"/>
              <w:left w:val="single" w:sz="8" w:space="0" w:color="000000"/>
              <w:bottom w:val="single" w:sz="8" w:space="0" w:color="000000"/>
              <w:right w:val="single" w:sz="8" w:space="0" w:color="000000"/>
            </w:tcBorders>
          </w:tcPr>
          <w:p w14:paraId="6C92ED6D" w14:textId="77777777" w:rsidR="00F33C03" w:rsidRDefault="00F33C03"/>
        </w:tc>
      </w:tr>
      <w:tr w:rsidR="00F33C03" w14:paraId="2096767A" w14:textId="77777777">
        <w:trPr>
          <w:trHeight w:val="2907"/>
        </w:trPr>
        <w:tc>
          <w:tcPr>
            <w:tcW w:w="0" w:type="auto"/>
            <w:vMerge/>
            <w:tcBorders>
              <w:top w:val="nil"/>
              <w:left w:val="single" w:sz="8" w:space="0" w:color="000000"/>
              <w:bottom w:val="nil"/>
              <w:right w:val="single" w:sz="8" w:space="0" w:color="000000"/>
            </w:tcBorders>
          </w:tcPr>
          <w:p w14:paraId="5756E7CB" w14:textId="77777777" w:rsidR="00F33C03" w:rsidRDefault="00F33C03"/>
        </w:tc>
        <w:tc>
          <w:tcPr>
            <w:tcW w:w="0" w:type="auto"/>
            <w:vMerge/>
            <w:tcBorders>
              <w:top w:val="nil"/>
              <w:left w:val="single" w:sz="8" w:space="0" w:color="000000"/>
              <w:bottom w:val="single" w:sz="8" w:space="0" w:color="000000"/>
              <w:right w:val="single" w:sz="8" w:space="0" w:color="000000"/>
            </w:tcBorders>
          </w:tcPr>
          <w:p w14:paraId="3C073229"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7B1C1972" w14:textId="77777777" w:rsidR="00F33C03" w:rsidRDefault="00647E24">
            <w:pPr>
              <w:ind w:right="42"/>
            </w:pPr>
            <w:r>
              <w:rPr>
                <w:sz w:val="28"/>
              </w:rPr>
              <w:t>Přednášková série "Společně chránit zdraví a štěstí"</w:t>
            </w:r>
          </w:p>
        </w:tc>
        <w:tc>
          <w:tcPr>
            <w:tcW w:w="13156" w:type="dxa"/>
            <w:tcBorders>
              <w:top w:val="single" w:sz="8" w:space="0" w:color="000000"/>
              <w:left w:val="single" w:sz="8" w:space="0" w:color="000000"/>
              <w:bottom w:val="single" w:sz="8" w:space="0" w:color="000000"/>
              <w:right w:val="single" w:sz="8" w:space="0" w:color="000000"/>
            </w:tcBorders>
          </w:tcPr>
          <w:p w14:paraId="0009205B" w14:textId="77777777" w:rsidR="00F33C03" w:rsidRDefault="00647E24">
            <w:pPr>
              <w:spacing w:after="6" w:line="261" w:lineRule="auto"/>
              <w:jc w:val="both"/>
            </w:pPr>
            <w:r>
              <w:rPr>
                <w:sz w:val="28"/>
              </w:rPr>
              <w:t>Podle průzkumu životních potřeb žen města Taoyuan z roku 2023 vykazují ženy významné rozdíly ve zdravotních potřebách napříč různými věkovými skupinami. Ženy ve věku 30 až 49 let často čelí dvojímu tlaku rodiny a práce, což často vede k zanedbávání vlastního zdraví. Naopak ženy ve věku 50 let a více vyjadřují větší obavy ohledně prevence chronických onemocnění a zdravotní péče spojené se stárnutím.</w:t>
            </w:r>
          </w:p>
          <w:p w14:paraId="792AF2EF" w14:textId="77777777" w:rsidR="00F33C03" w:rsidRDefault="00647E24">
            <w:pPr>
              <w:ind w:right="1"/>
              <w:jc w:val="both"/>
            </w:pPr>
            <w:r>
              <w:rPr>
                <w:sz w:val="28"/>
              </w:rPr>
              <w:t>V reakci na tyto zjištění DWCD nadále propaguje přednáškovou sérii "Společně HER – chránit zdraví a štěstí". Prostřednictvím sdílených sezení vedených profesionálními řečníky si program klade za cíl pomoci ženám vybudovat silné schopnosti péče o sebe a zároveň zvýšit povědomí a podporu ohledně zdravotních problémů žen mezi všemi občany.</w:t>
            </w:r>
          </w:p>
        </w:tc>
        <w:tc>
          <w:tcPr>
            <w:tcW w:w="2964" w:type="dxa"/>
            <w:tcBorders>
              <w:top w:val="single" w:sz="8" w:space="0" w:color="000000"/>
              <w:left w:val="single" w:sz="8" w:space="0" w:color="000000"/>
              <w:bottom w:val="single" w:sz="8" w:space="0" w:color="000000"/>
              <w:right w:val="single" w:sz="8" w:space="0" w:color="000000"/>
            </w:tcBorders>
          </w:tcPr>
          <w:p w14:paraId="7FB6BDA6" w14:textId="77777777" w:rsidR="00F33C03" w:rsidRDefault="00F33C03"/>
        </w:tc>
      </w:tr>
      <w:tr w:rsidR="00F33C03" w14:paraId="649A638F" w14:textId="77777777">
        <w:trPr>
          <w:trHeight w:val="2545"/>
        </w:trPr>
        <w:tc>
          <w:tcPr>
            <w:tcW w:w="0" w:type="auto"/>
            <w:vMerge/>
            <w:tcBorders>
              <w:top w:val="nil"/>
              <w:left w:val="single" w:sz="8" w:space="0" w:color="000000"/>
              <w:bottom w:val="nil"/>
              <w:right w:val="single" w:sz="8" w:space="0" w:color="000000"/>
            </w:tcBorders>
          </w:tcPr>
          <w:p w14:paraId="474BF2D2" w14:textId="77777777" w:rsidR="00F33C03" w:rsidRDefault="00F33C03"/>
        </w:tc>
        <w:tc>
          <w:tcPr>
            <w:tcW w:w="1798" w:type="dxa"/>
            <w:vMerge w:val="restart"/>
            <w:tcBorders>
              <w:top w:val="single" w:sz="8" w:space="0" w:color="000000"/>
              <w:left w:val="single" w:sz="8" w:space="0" w:color="000000"/>
              <w:bottom w:val="single" w:sz="8" w:space="0" w:color="000000"/>
              <w:right w:val="single" w:sz="8" w:space="0" w:color="000000"/>
            </w:tcBorders>
            <w:vAlign w:val="center"/>
          </w:tcPr>
          <w:p w14:paraId="47AF4D96" w14:textId="77777777" w:rsidR="00F33C03" w:rsidRDefault="00647E24">
            <w:r>
              <w:rPr>
                <w:sz w:val="28"/>
              </w:rPr>
              <w:t>Podpora a posílení postavení nových obyvatel</w:t>
            </w:r>
          </w:p>
        </w:tc>
        <w:tc>
          <w:tcPr>
            <w:tcW w:w="2208" w:type="dxa"/>
            <w:tcBorders>
              <w:top w:val="single" w:sz="8" w:space="0" w:color="000000"/>
              <w:left w:val="single" w:sz="8" w:space="0" w:color="000000"/>
              <w:bottom w:val="single" w:sz="8" w:space="0" w:color="000000"/>
              <w:right w:val="single" w:sz="8" w:space="0" w:color="000000"/>
            </w:tcBorders>
            <w:vAlign w:val="center"/>
          </w:tcPr>
          <w:p w14:paraId="2B405187" w14:textId="77777777" w:rsidR="00F33C03" w:rsidRDefault="00647E24">
            <w:pPr>
              <w:spacing w:after="1" w:line="252" w:lineRule="auto"/>
            </w:pPr>
            <w:r>
              <w:rPr>
                <w:sz w:val="28"/>
              </w:rPr>
              <w:t>Vzdělávací program pro nové rezidenty po porodu</w:t>
            </w:r>
          </w:p>
          <w:p w14:paraId="5D84804F" w14:textId="77777777" w:rsidR="00F33C03" w:rsidRDefault="00647E24">
            <w:r>
              <w:rPr>
                <w:sz w:val="28"/>
              </w:rPr>
              <w:t>Pečovatelé (nebo</w:t>
            </w:r>
          </w:p>
          <w:p w14:paraId="3F3B2F7D" w14:textId="77777777" w:rsidR="00F33C03" w:rsidRDefault="00647E24">
            <w:r>
              <w:rPr>
                <w:sz w:val="28"/>
              </w:rPr>
              <w:t>Porodnictví</w:t>
            </w:r>
          </w:p>
          <w:p w14:paraId="5C99B19D" w14:textId="77777777" w:rsidR="00F33C03" w:rsidRDefault="00647E24">
            <w:r>
              <w:rPr>
                <w:sz w:val="28"/>
              </w:rPr>
              <w:t>chůvy)</w:t>
            </w:r>
          </w:p>
        </w:tc>
        <w:tc>
          <w:tcPr>
            <w:tcW w:w="13156" w:type="dxa"/>
            <w:tcBorders>
              <w:top w:val="single" w:sz="8" w:space="0" w:color="000000"/>
              <w:left w:val="single" w:sz="8" w:space="0" w:color="000000"/>
              <w:bottom w:val="single" w:sz="8" w:space="0" w:color="000000"/>
              <w:right w:val="single" w:sz="8" w:space="0" w:color="000000"/>
            </w:tcBorders>
            <w:vAlign w:val="center"/>
          </w:tcPr>
          <w:p w14:paraId="0F3FC0C2" w14:textId="77777777" w:rsidR="00F33C03" w:rsidRDefault="00647E24">
            <w:pPr>
              <w:spacing w:line="265" w:lineRule="auto"/>
              <w:jc w:val="both"/>
            </w:pPr>
            <w:r>
              <w:rPr>
                <w:sz w:val="28"/>
              </w:rPr>
              <w:t>Aby pomohla novým obyvatelkám a znevýhodněným ženám v Taoyuanu zlepšit jejich profesní dovednosti a rozšířit možnosti kariérního rozvoje, pověřila DWCD Taoyuan Nanny Association organizací "Nové</w:t>
            </w:r>
          </w:p>
          <w:p w14:paraId="1BD29B76" w14:textId="77777777" w:rsidR="00F33C03" w:rsidRDefault="00647E24">
            <w:pPr>
              <w:spacing w:after="9"/>
            </w:pPr>
            <w:r>
              <w:rPr>
                <w:sz w:val="28"/>
              </w:rPr>
              <w:t>Program školení ošetřovatelů po porodu pro rezidenty."</w:t>
            </w:r>
          </w:p>
          <w:p w14:paraId="79A2AE31" w14:textId="77777777" w:rsidR="00F33C03" w:rsidRDefault="00647E24">
            <w:pPr>
              <w:ind w:right="1"/>
              <w:jc w:val="both"/>
            </w:pPr>
            <w:r>
              <w:rPr>
                <w:sz w:val="28"/>
              </w:rPr>
              <w:t>Program byl úspěšně ukončen, celkem 37 účastníků kurzu dokončilo. Pozoruhodné je, že 13 účastníků pocházelo z ne-tchajwanského prostředí, všichni úspěšně získali osvědčení o absolvování. To představuje důležitý krok k jejich profesnímu zapojení do odvětví péče o matky a kojence.</w:t>
            </w:r>
          </w:p>
        </w:tc>
        <w:tc>
          <w:tcPr>
            <w:tcW w:w="2964" w:type="dxa"/>
            <w:tcBorders>
              <w:top w:val="single" w:sz="8" w:space="0" w:color="000000"/>
              <w:left w:val="single" w:sz="8" w:space="0" w:color="000000"/>
              <w:bottom w:val="single" w:sz="8" w:space="0" w:color="000000"/>
              <w:right w:val="single" w:sz="8" w:space="0" w:color="000000"/>
            </w:tcBorders>
          </w:tcPr>
          <w:p w14:paraId="71019412" w14:textId="77777777" w:rsidR="00F33C03" w:rsidRDefault="00F33C03"/>
        </w:tc>
      </w:tr>
      <w:tr w:rsidR="00F33C03" w14:paraId="3AB803EA" w14:textId="77777777">
        <w:trPr>
          <w:trHeight w:val="1817"/>
        </w:trPr>
        <w:tc>
          <w:tcPr>
            <w:tcW w:w="0" w:type="auto"/>
            <w:vMerge/>
            <w:tcBorders>
              <w:top w:val="nil"/>
              <w:left w:val="single" w:sz="8" w:space="0" w:color="000000"/>
              <w:bottom w:val="nil"/>
              <w:right w:val="single" w:sz="8" w:space="0" w:color="000000"/>
            </w:tcBorders>
          </w:tcPr>
          <w:p w14:paraId="11EA49E1" w14:textId="77777777" w:rsidR="00F33C03" w:rsidRDefault="00F33C03"/>
        </w:tc>
        <w:tc>
          <w:tcPr>
            <w:tcW w:w="0" w:type="auto"/>
            <w:vMerge/>
            <w:tcBorders>
              <w:top w:val="nil"/>
              <w:left w:val="single" w:sz="8" w:space="0" w:color="000000"/>
              <w:bottom w:val="single" w:sz="8" w:space="0" w:color="000000"/>
              <w:right w:val="single" w:sz="8" w:space="0" w:color="000000"/>
            </w:tcBorders>
          </w:tcPr>
          <w:p w14:paraId="642109EA" w14:textId="77777777" w:rsidR="00F33C03" w:rsidRDefault="00F33C03"/>
        </w:tc>
        <w:tc>
          <w:tcPr>
            <w:tcW w:w="2208" w:type="dxa"/>
            <w:tcBorders>
              <w:top w:val="single" w:sz="8" w:space="0" w:color="000000"/>
              <w:left w:val="single" w:sz="8" w:space="0" w:color="000000"/>
              <w:bottom w:val="single" w:sz="8" w:space="0" w:color="000000"/>
              <w:right w:val="single" w:sz="8" w:space="0" w:color="000000"/>
            </w:tcBorders>
            <w:vAlign w:val="center"/>
          </w:tcPr>
          <w:p w14:paraId="6286334B" w14:textId="77777777" w:rsidR="00F33C03" w:rsidRDefault="00647E24">
            <w:r>
              <w:rPr>
                <w:sz w:val="28"/>
              </w:rPr>
              <w:t>"Mluvící Taoyuan:</w:t>
            </w:r>
          </w:p>
          <w:p w14:paraId="516AA38E" w14:textId="77777777" w:rsidR="00F33C03" w:rsidRDefault="00647E24">
            <w:r>
              <w:rPr>
                <w:sz w:val="28"/>
              </w:rPr>
              <w:t>Dialog s</w:t>
            </w:r>
          </w:p>
          <w:p w14:paraId="03115A3A" w14:textId="77777777" w:rsidR="00F33C03" w:rsidRDefault="00647E24">
            <w:r>
              <w:rPr>
                <w:sz w:val="28"/>
              </w:rPr>
              <w:t>Děti New</w:t>
            </w:r>
          </w:p>
          <w:p w14:paraId="4BBF1C2A" w14:textId="77777777" w:rsidR="00F33C03" w:rsidRDefault="00647E24">
            <w:r>
              <w:rPr>
                <w:sz w:val="28"/>
              </w:rPr>
              <w:t>Obyvatelé"</w:t>
            </w:r>
          </w:p>
        </w:tc>
        <w:tc>
          <w:tcPr>
            <w:tcW w:w="13156" w:type="dxa"/>
            <w:tcBorders>
              <w:top w:val="single" w:sz="8" w:space="0" w:color="000000"/>
              <w:left w:val="single" w:sz="8" w:space="0" w:color="000000"/>
              <w:bottom w:val="single" w:sz="8" w:space="0" w:color="000000"/>
              <w:right w:val="single" w:sz="8" w:space="0" w:color="000000"/>
            </w:tcBorders>
          </w:tcPr>
          <w:p w14:paraId="7DA860D5" w14:textId="77777777" w:rsidR="00F33C03" w:rsidRDefault="00647E24">
            <w:pPr>
              <w:jc w:val="both"/>
            </w:pPr>
            <w:r>
              <w:rPr>
                <w:sz w:val="28"/>
              </w:rPr>
              <w:t>Tato akce shromažďuje druhou generaci nových obyvatel z Vietnamu, pevninské Číny, Indonésie, Thajska a Filipín, aby diskutovali o klíčových tématech, jako jsou jejich zkušenosti s růstem, identita, účast veřejnosti a kulturní integrace. Tito účastníci také přednesou hlavní projevy, ve kterých sdílejí své mnohovrstevnaté životy v multikulturním kontextu. Tato platforma umožňuje občanům být svědky jejich pozoruhodného úsilí a neomezeného potenciálu na této půdě.</w:t>
            </w:r>
          </w:p>
        </w:tc>
        <w:tc>
          <w:tcPr>
            <w:tcW w:w="2964" w:type="dxa"/>
            <w:tcBorders>
              <w:top w:val="single" w:sz="8" w:space="0" w:color="000000"/>
              <w:left w:val="single" w:sz="8" w:space="0" w:color="000000"/>
              <w:bottom w:val="single" w:sz="8" w:space="0" w:color="000000"/>
              <w:right w:val="single" w:sz="8" w:space="0" w:color="000000"/>
            </w:tcBorders>
          </w:tcPr>
          <w:p w14:paraId="3F97B999" w14:textId="77777777" w:rsidR="00F33C03" w:rsidRDefault="00F33C03"/>
        </w:tc>
      </w:tr>
      <w:tr w:rsidR="00F33C03" w14:paraId="4C1345B7" w14:textId="77777777">
        <w:trPr>
          <w:trHeight w:val="1817"/>
        </w:trPr>
        <w:tc>
          <w:tcPr>
            <w:tcW w:w="0" w:type="auto"/>
            <w:vMerge/>
            <w:tcBorders>
              <w:top w:val="nil"/>
              <w:left w:val="single" w:sz="8" w:space="0" w:color="000000"/>
              <w:bottom w:val="single" w:sz="8" w:space="0" w:color="000000"/>
              <w:right w:val="single" w:sz="8" w:space="0" w:color="000000"/>
            </w:tcBorders>
          </w:tcPr>
          <w:p w14:paraId="407AFFF9" w14:textId="77777777" w:rsidR="00F33C03" w:rsidRDefault="00F33C03"/>
        </w:tc>
        <w:tc>
          <w:tcPr>
            <w:tcW w:w="1798" w:type="dxa"/>
            <w:tcBorders>
              <w:top w:val="single" w:sz="8" w:space="0" w:color="000000"/>
              <w:left w:val="single" w:sz="8" w:space="0" w:color="000000"/>
              <w:bottom w:val="single" w:sz="8" w:space="0" w:color="000000"/>
              <w:right w:val="single" w:sz="8" w:space="0" w:color="000000"/>
            </w:tcBorders>
            <w:vAlign w:val="center"/>
          </w:tcPr>
          <w:p w14:paraId="49BAD6BD" w14:textId="77777777" w:rsidR="00F33C03" w:rsidRDefault="00647E24">
            <w:r>
              <w:rPr>
                <w:sz w:val="28"/>
              </w:rPr>
              <w:t>Pohlaví</w:t>
            </w:r>
          </w:p>
          <w:p w14:paraId="1FCCDDFD" w14:textId="77777777" w:rsidR="00F33C03" w:rsidRDefault="00647E24">
            <w:r>
              <w:rPr>
                <w:sz w:val="28"/>
              </w:rPr>
              <w:t>Rovnost</w:t>
            </w:r>
          </w:p>
        </w:tc>
        <w:tc>
          <w:tcPr>
            <w:tcW w:w="2208" w:type="dxa"/>
            <w:tcBorders>
              <w:top w:val="single" w:sz="8" w:space="0" w:color="000000"/>
              <w:left w:val="single" w:sz="8" w:space="0" w:color="000000"/>
              <w:bottom w:val="single" w:sz="8" w:space="0" w:color="000000"/>
              <w:right w:val="single" w:sz="8" w:space="0" w:color="000000"/>
            </w:tcBorders>
            <w:vAlign w:val="center"/>
          </w:tcPr>
          <w:p w14:paraId="116CF7C6" w14:textId="77777777" w:rsidR="00F33C03" w:rsidRDefault="00647E24">
            <w:r>
              <w:rPr>
                <w:sz w:val="28"/>
              </w:rPr>
              <w:t>"Sluníčko</w:t>
            </w:r>
          </w:p>
          <w:p w14:paraId="1C6A17A3" w14:textId="77777777" w:rsidR="00F33C03" w:rsidRDefault="00647E24">
            <w:r>
              <w:rPr>
                <w:sz w:val="28"/>
              </w:rPr>
              <w:t>Ženská síla</w:t>
            </w:r>
          </w:p>
          <w:p w14:paraId="2D197E3D" w14:textId="77777777" w:rsidR="00F33C03" w:rsidRDefault="00647E24">
            <w:r>
              <w:rPr>
                <w:sz w:val="28"/>
              </w:rPr>
              <w:t>Projekt"</w:t>
            </w:r>
          </w:p>
        </w:tc>
        <w:tc>
          <w:tcPr>
            <w:tcW w:w="13156" w:type="dxa"/>
            <w:tcBorders>
              <w:top w:val="single" w:sz="8" w:space="0" w:color="000000"/>
              <w:left w:val="single" w:sz="8" w:space="0" w:color="000000"/>
              <w:bottom w:val="single" w:sz="8" w:space="0" w:color="000000"/>
              <w:right w:val="single" w:sz="8" w:space="0" w:color="000000"/>
            </w:tcBorders>
          </w:tcPr>
          <w:p w14:paraId="460CC293" w14:textId="77777777" w:rsidR="00F33C03" w:rsidRDefault="00647E24">
            <w:pPr>
              <w:spacing w:after="19" w:line="252" w:lineRule="auto"/>
              <w:jc w:val="both"/>
            </w:pPr>
            <w:r>
              <w:rPr>
                <w:sz w:val="28"/>
              </w:rPr>
              <w:t>Projekt "Sunshine Women's Power Project", podporovaný Ministerstvem hospodářského rozvoje, strategicky integruje genderovou výchovu s tréninkem dovedností.</w:t>
            </w:r>
          </w:p>
          <w:p w14:paraId="72916820" w14:textId="77777777" w:rsidR="00F33C03" w:rsidRDefault="00647E24">
            <w:pPr>
              <w:jc w:val="both"/>
            </w:pPr>
            <w:r>
              <w:rPr>
                <w:sz w:val="28"/>
              </w:rPr>
              <w:t>Tato iniciativa aktivně rozvíjí ženské talenty v energetických technologiích a úspěšně prolomuje stereotyp mužsky dominovaného solárního a energetického sektoru. Tímto způsobem projekt současně dosahuje dvojích cílů: dosažení rovnosti pohlaví a usnadnění energetické transformace.</w:t>
            </w:r>
          </w:p>
        </w:tc>
        <w:tc>
          <w:tcPr>
            <w:tcW w:w="2964" w:type="dxa"/>
            <w:tcBorders>
              <w:top w:val="single" w:sz="8" w:space="0" w:color="000000"/>
              <w:left w:val="single" w:sz="8" w:space="0" w:color="000000"/>
              <w:bottom w:val="single" w:sz="8" w:space="0" w:color="000000"/>
              <w:right w:val="single" w:sz="8" w:space="0" w:color="000000"/>
            </w:tcBorders>
          </w:tcPr>
          <w:p w14:paraId="4F5494F3" w14:textId="77777777" w:rsidR="00F33C03" w:rsidRDefault="00647E24">
            <w:pPr>
              <w:spacing w:line="252" w:lineRule="auto"/>
            </w:pPr>
            <w:r>
              <w:rPr>
                <w:sz w:val="28"/>
              </w:rPr>
              <w:t>23. Zlaté srdce (Cena Jin Xin) výkonného jüanu-</w:t>
            </w:r>
          </w:p>
          <w:p w14:paraId="7AE31BE5" w14:textId="77777777" w:rsidR="00F33C03" w:rsidRDefault="00647E24">
            <w:r>
              <w:rPr>
                <w:sz w:val="28"/>
              </w:rPr>
              <w:t>"Příběh o rovnosti pohlaví</w:t>
            </w:r>
          </w:p>
          <w:p w14:paraId="75B2166D" w14:textId="77777777" w:rsidR="00F33C03" w:rsidRDefault="00647E24">
            <w:r>
              <w:rPr>
                <w:sz w:val="28"/>
              </w:rPr>
              <w:t>Ocenění"</w:t>
            </w:r>
          </w:p>
        </w:tc>
      </w:tr>
    </w:tbl>
    <w:p w14:paraId="1A664989" w14:textId="5EC57540" w:rsidR="00647E24" w:rsidRDefault="00647E24"/>
    <w:sectPr w:rsidR="00647E24">
      <w:pgSz w:w="23808" w:h="16834" w:orient="landscape"/>
      <w:pgMar w:top="1090" w:right="1440" w:bottom="1440" w:left="144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pletalová Beata (MMB_OZV)" w:date="2026-02-24T12:19:00Z" w:initials="BZ">
    <w:p w14:paraId="122D6CA8" w14:textId="77777777" w:rsidR="00D756E5" w:rsidRDefault="00D756E5" w:rsidP="00D756E5">
      <w:pPr>
        <w:pStyle w:val="Textkomente"/>
      </w:pPr>
      <w:r>
        <w:rPr>
          <w:rStyle w:val="Odkaznakoment"/>
        </w:rPr>
        <w:annotationRef/>
      </w:r>
      <w:r>
        <w:t>Toto by mohlo být zajímavé pro OŽP. Prosím o jejich komentář, zda by tuto iniciativu mohli využít.</w:t>
      </w:r>
    </w:p>
  </w:comment>
  <w:comment w:id="1" w:author="Zapletalová Beata (MMB_OZV)" w:date="2026-02-24T12:33:00Z" w:initials="BZ">
    <w:p w14:paraId="14D75059" w14:textId="77777777" w:rsidR="00D756E5" w:rsidRDefault="00D756E5" w:rsidP="00D756E5">
      <w:pPr>
        <w:pStyle w:val="Textkomente"/>
      </w:pPr>
      <w:r>
        <w:rPr>
          <w:rStyle w:val="Odkaznakoment"/>
        </w:rPr>
        <w:annotationRef/>
      </w:r>
      <w:r>
        <w:t>Mohlo by být zajímavé pro DPMB. Poslat jim nabídku.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2D6CA8" w15:done="0"/>
  <w15:commentEx w15:paraId="14D75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CBC804" w16cex:dateUtc="2026-02-24T11:19:00Z"/>
  <w16cex:commentExtensible w16cex:durableId="1B451292" w16cex:dateUtc="2026-02-24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2D6CA8" w16cid:durableId="3CCBC804"/>
  <w16cid:commentId w16cid:paraId="14D75059" w16cid:durableId="1B4512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76B4A"/>
    <w:multiLevelType w:val="hybridMultilevel"/>
    <w:tmpl w:val="82708B7C"/>
    <w:lvl w:ilvl="0" w:tplc="9E7CA874">
      <w:start w:val="3"/>
      <w:numFmt w:val="decimal"/>
      <w:lvlText w:val="%1."/>
      <w:lvlJc w:val="left"/>
      <w:pPr>
        <w:ind w:left="2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7EE4470">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23E4BFC">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7E8978">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D267C22">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31EF372">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2A8CD64">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EFC33FC">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BB671A4">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31A78A6"/>
    <w:multiLevelType w:val="hybridMultilevel"/>
    <w:tmpl w:val="7BC82E74"/>
    <w:lvl w:ilvl="0" w:tplc="6F9AC7C0">
      <w:start w:val="1"/>
      <w:numFmt w:val="decimal"/>
      <w:lvlText w:val="%1."/>
      <w:lvlJc w:val="left"/>
      <w:pPr>
        <w:ind w:left="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F2EC150">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B04718">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78CEEDC">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6280ADE">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E3A5E54">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39C7504">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78FBFA">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7BE6944">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015690A"/>
    <w:multiLevelType w:val="hybridMultilevel"/>
    <w:tmpl w:val="05246FC4"/>
    <w:lvl w:ilvl="0" w:tplc="1D302594">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16C43E6">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5B66028">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BC28950">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90A988">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34EEEE">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F60F16C">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A163A72">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D82278E">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5A31542"/>
    <w:multiLevelType w:val="hybridMultilevel"/>
    <w:tmpl w:val="50C86FDA"/>
    <w:lvl w:ilvl="0" w:tplc="5CC204FA">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D98DCEA">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E6C7184">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FF4D476">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DA8B0EE">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CD2EA62">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F7432B2">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5426F44">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98872E">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31F43AC"/>
    <w:multiLevelType w:val="hybridMultilevel"/>
    <w:tmpl w:val="C66248B6"/>
    <w:lvl w:ilvl="0" w:tplc="BFC0A2DE">
      <w:start w:val="1"/>
      <w:numFmt w:val="decimal"/>
      <w:lvlText w:val="%1."/>
      <w:lvlJc w:val="left"/>
      <w:pPr>
        <w:ind w:left="2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BBACE38">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8F6C180">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3DE9E54">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586846A">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F8E0520">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A02356">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47C00DA">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2E42DD6">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3C50E72"/>
    <w:multiLevelType w:val="hybridMultilevel"/>
    <w:tmpl w:val="C8D29950"/>
    <w:lvl w:ilvl="0" w:tplc="1EA4F5FE">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66AD164">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0D0E428">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7243670">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C54F036">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48E6DC8">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7487864">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E3E83CC">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A38009E">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105108994">
    <w:abstractNumId w:val="4"/>
  </w:num>
  <w:num w:numId="2" w16cid:durableId="333920334">
    <w:abstractNumId w:val="0"/>
  </w:num>
  <w:num w:numId="3" w16cid:durableId="1062215817">
    <w:abstractNumId w:val="5"/>
  </w:num>
  <w:num w:numId="4" w16cid:durableId="923608713">
    <w:abstractNumId w:val="1"/>
  </w:num>
  <w:num w:numId="5" w16cid:durableId="1615675448">
    <w:abstractNumId w:val="2"/>
  </w:num>
  <w:num w:numId="6" w16cid:durableId="1378910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pletalová Beata (MMB_OZV)">
    <w15:presenceInfo w15:providerId="AD" w15:userId="S::zapletalova.beata@brno.cz::f50a062c-e625-4c4b-9772-095f61b0fa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C03"/>
    <w:rsid w:val="001D5B7E"/>
    <w:rsid w:val="00452DFD"/>
    <w:rsid w:val="004E3317"/>
    <w:rsid w:val="00587957"/>
    <w:rsid w:val="00647E24"/>
    <w:rsid w:val="00716571"/>
    <w:rsid w:val="00B9796A"/>
    <w:rsid w:val="00CA527B"/>
    <w:rsid w:val="00D756E5"/>
    <w:rsid w:val="00E02A23"/>
    <w:rsid w:val="00F33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5AE5"/>
  <w15:docId w15:val="{FCCE43CE-0244-48A9-B0D7-868D3733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Zstupntext">
    <w:name w:val="Placeholder Text"/>
    <w:basedOn w:val="Standardnpsmoodstavce"/>
    <w:uiPriority w:val="99"/>
    <w:semiHidden/>
    <w:rsid w:val="00D756E5"/>
    <w:rPr>
      <w:color w:val="666666"/>
    </w:rPr>
  </w:style>
  <w:style w:type="character" w:styleId="Odkaznakoment">
    <w:name w:val="annotation reference"/>
    <w:basedOn w:val="Standardnpsmoodstavce"/>
    <w:uiPriority w:val="99"/>
    <w:semiHidden/>
    <w:unhideWhenUsed/>
    <w:rsid w:val="00D756E5"/>
    <w:rPr>
      <w:sz w:val="16"/>
      <w:szCs w:val="16"/>
    </w:rPr>
  </w:style>
  <w:style w:type="paragraph" w:styleId="Textkomente">
    <w:name w:val="annotation text"/>
    <w:basedOn w:val="Normln"/>
    <w:link w:val="TextkomenteChar"/>
    <w:uiPriority w:val="99"/>
    <w:unhideWhenUsed/>
    <w:rsid w:val="00D756E5"/>
    <w:pPr>
      <w:spacing w:line="240" w:lineRule="auto"/>
    </w:pPr>
    <w:rPr>
      <w:sz w:val="20"/>
      <w:szCs w:val="20"/>
    </w:rPr>
  </w:style>
  <w:style w:type="character" w:customStyle="1" w:styleId="TextkomenteChar">
    <w:name w:val="Text komentáře Char"/>
    <w:basedOn w:val="Standardnpsmoodstavce"/>
    <w:link w:val="Textkomente"/>
    <w:uiPriority w:val="99"/>
    <w:rsid w:val="00D756E5"/>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D756E5"/>
    <w:rPr>
      <w:b/>
      <w:bCs/>
    </w:rPr>
  </w:style>
  <w:style w:type="character" w:customStyle="1" w:styleId="PedmtkomenteChar">
    <w:name w:val="Předmět komentáře Char"/>
    <w:basedOn w:val="TextkomenteChar"/>
    <w:link w:val="Pedmtkomente"/>
    <w:uiPriority w:val="99"/>
    <w:semiHidden/>
    <w:rsid w:val="00D756E5"/>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47802">
      <w:bodyDiv w:val="1"/>
      <w:marLeft w:val="0"/>
      <w:marRight w:val="0"/>
      <w:marTop w:val="0"/>
      <w:marBottom w:val="0"/>
      <w:divBdr>
        <w:top w:val="none" w:sz="0" w:space="0" w:color="auto"/>
        <w:left w:val="none" w:sz="0" w:space="0" w:color="auto"/>
        <w:bottom w:val="none" w:sz="0" w:space="0" w:color="auto"/>
        <w:right w:val="none" w:sz="0" w:space="0" w:color="auto"/>
      </w:divBdr>
    </w:div>
    <w:div w:id="731149616">
      <w:bodyDiv w:val="1"/>
      <w:marLeft w:val="0"/>
      <w:marRight w:val="0"/>
      <w:marTop w:val="0"/>
      <w:marBottom w:val="0"/>
      <w:divBdr>
        <w:top w:val="none" w:sz="0" w:space="0" w:color="auto"/>
        <w:left w:val="none" w:sz="0" w:space="0" w:color="auto"/>
        <w:bottom w:val="none" w:sz="0" w:space="0" w:color="auto"/>
        <w:right w:val="none" w:sz="0" w:space="0" w:color="auto"/>
      </w:divBdr>
    </w:div>
    <w:div w:id="1436443705">
      <w:bodyDiv w:val="1"/>
      <w:marLeft w:val="0"/>
      <w:marRight w:val="0"/>
      <w:marTop w:val="0"/>
      <w:marBottom w:val="0"/>
      <w:divBdr>
        <w:top w:val="none" w:sz="0" w:space="0" w:color="auto"/>
        <w:left w:val="none" w:sz="0" w:space="0" w:color="auto"/>
        <w:bottom w:val="none" w:sz="0" w:space="0" w:color="auto"/>
        <w:right w:val="none" w:sz="0" w:space="0" w:color="auto"/>
      </w:divBdr>
    </w:div>
    <w:div w:id="1589072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4914</Words>
  <Characters>28998</Characters>
  <Application>Microsoft Office Word</Application>
  <DocSecurity>0</DocSecurity>
  <Lines>241</Lines>
  <Paragraphs>67</Paragraphs>
  <ScaleCrop>false</ScaleCrop>
  <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張慈育</dc:creator>
  <cp:keywords/>
  <cp:lastModifiedBy>hrdlicka</cp:lastModifiedBy>
  <cp:revision>2</cp:revision>
  <cp:lastPrinted>2026-02-26T13:48:00Z</cp:lastPrinted>
  <dcterms:created xsi:type="dcterms:W3CDTF">2026-02-26T13:51:00Z</dcterms:created>
  <dcterms:modified xsi:type="dcterms:W3CDTF">2026-02-26T13:51:00Z</dcterms:modified>
</cp:coreProperties>
</file>